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加拿大多伦多大学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w:t>
      </w:r>
      <w:r>
        <w:rPr>
          <w:rFonts w:asciiTheme="minorHAnsi" w:hAnsiTheme="minorHAnsi" w:eastAsiaTheme="majorEastAsia" w:cstheme="minorHAnsi"/>
          <w:b/>
          <w:kern w:val="0"/>
          <w:sz w:val="32"/>
          <w:szCs w:val="21"/>
        </w:rPr>
        <w:t>项目</w:t>
      </w:r>
    </w:p>
    <w:p>
      <w:pPr>
        <w:widowControl/>
        <w:spacing w:line="360" w:lineRule="auto"/>
        <w:rPr>
          <w:rFonts w:cs="Calibri" w:asciiTheme="minorHAnsi" w:hAnsi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bCs/>
          <w:kern w:val="0"/>
          <w:szCs w:val="21"/>
        </w:rPr>
        <w:t>多伦多大学英语语言中心</w:t>
      </w:r>
      <w:r>
        <w:rPr>
          <w:rFonts w:hint="eastAsia" w:asciiTheme="minorHAnsi" w:hAnsiTheme="minorHAnsi" w:eastAsiaTheme="majorEastAsia" w:cstheme="minorHAnsi"/>
          <w:kern w:val="0"/>
          <w:szCs w:val="21"/>
        </w:rPr>
        <w:t>隶属于多伦多大学的继续教育学院(School of Continuing Studies)。学院迄今拥有近50年的丰富教学经验，每年为来自35个国家的上千名学生提供各类优质的英语学习项目，形成了实用科学的教学方法。此外，多伦多作为全球最多元化和宜居的城市之一，也为学生提供了无与伦比的语言学习环境。</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全美国际教育协会作为多伦多大学英语语言学院在中国的正式授权机构，负责选拔优秀中国大学生，于202</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年寒假前往多伦多大学参加为期4周的语言文化项目。参加项目的</w:t>
      </w:r>
      <w:r>
        <w:rPr>
          <w:rFonts w:asciiTheme="minorHAnsi" w:hAnsiTheme="minorHAnsi" w:eastAsiaTheme="majorEastAsia" w:cstheme="minorHAnsi"/>
          <w:kern w:val="0"/>
          <w:szCs w:val="21"/>
        </w:rPr>
        <w:t>学生</w:t>
      </w:r>
      <w:r>
        <w:rPr>
          <w:rFonts w:hint="eastAsia" w:asciiTheme="minorHAnsi" w:hAnsiTheme="minorHAnsi" w:eastAsiaTheme="majorEastAsia" w:cstheme="minorHAnsi"/>
          <w:kern w:val="0"/>
          <w:szCs w:val="21"/>
        </w:rPr>
        <w:t>将</w:t>
      </w:r>
      <w:r>
        <w:rPr>
          <w:rFonts w:hint="eastAsia" w:asciiTheme="minorHAnsi" w:hAnsiTheme="minorHAnsi" w:eastAsiaTheme="majorEastAsia" w:cstheme="minorHAnsi"/>
          <w:szCs w:val="21"/>
        </w:rPr>
        <w:t>与其它参加语言课程的国际学生混班上课，迅速提升自身的英语水平，同时体验加拿大的社会与文化。</w:t>
      </w:r>
    </w:p>
    <w:p>
      <w:pPr>
        <w:widowControl/>
        <w:spacing w:line="360" w:lineRule="auto"/>
        <w:jc w:val="left"/>
        <w:rPr>
          <w:rFonts w:cs="Arial" w:asciiTheme="minorHAnsi" w:hAnsiTheme="minorHAnsi"/>
          <w:color w:val="333333"/>
          <w:kern w:val="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【体验北美纯正英语课程】参加加拿大名校的优质语言课程，每周20小时强化学习，有效提升语言技巧；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【官方品质保障】学生正式注册，由多大语言中心经验丰富的英语教师参与授课，学生可获得多伦多大学出具的官方正式成绩单；</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【丰富的文化活动体验】丰富多彩的加拿大文化体验，</w:t>
      </w:r>
      <w:r>
        <w:rPr>
          <w:rFonts w:hint="eastAsia" w:asciiTheme="minorHAnsi" w:hAnsiTheme="minorHAnsi" w:eastAsiaTheme="majorEastAsia" w:cstheme="minorHAnsi"/>
          <w:szCs w:val="21"/>
        </w:rPr>
        <w:t>游览尼亚加拉瀑布、参观博物馆、参加各类体育活动</w:t>
      </w:r>
      <w:r>
        <w:rPr>
          <w:rFonts w:hint="eastAsia" w:cs="Calibri" w:asciiTheme="minorHAnsi" w:hAnsiTheme="minorHAnsi"/>
          <w:szCs w:val="21"/>
        </w:rPr>
        <w:t>等。</w:t>
      </w:r>
    </w:p>
    <w:p>
      <w:pPr>
        <w:widowControl/>
        <w:spacing w:line="360" w:lineRule="auto"/>
        <w:jc w:val="left"/>
        <w:rPr>
          <w:rFonts w:cs="Calibri" w:asciiTheme="minorHAnsi" w:hAnsiTheme="minorHAnsi"/>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asciiTheme="minorHAnsi" w:hAnsiTheme="minorHAnsi" w:eastAsiaTheme="majorEastAsia" w:cstheme="minorHAnsi"/>
          <w:b/>
          <w:bCs/>
          <w:kern w:val="0"/>
          <w:szCs w:val="21"/>
        </w:rPr>
        <w:t>多伦多大学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始建于1827年，加拿大顶尖学府，也是世界范围享有盛誉的</w:t>
      </w:r>
      <w:r>
        <w:rPr>
          <w:rFonts w:cs="Arial" w:asciiTheme="minorHAnsi" w:hAnsiTheme="minorHAnsi"/>
          <w:bCs/>
          <w:color w:val="333333"/>
          <w:kern w:val="0"/>
          <w:szCs w:val="21"/>
        </w:rPr>
        <w:t>公立研究性大学</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w:t>
      </w:r>
      <w:r>
        <w:rPr>
          <w:rFonts w:hint="eastAsia" w:asciiTheme="minorHAnsi" w:hAnsiTheme="minorHAnsi"/>
        </w:rPr>
        <w:t>2</w:t>
      </w:r>
      <w:r>
        <w:rPr>
          <w:rFonts w:asciiTheme="minorHAnsi" w:hAnsiTheme="minorHAnsi"/>
        </w:rPr>
        <w:t>3年《美国新闻与世界报道》全球大学综合排名第</w:t>
      </w:r>
      <w:r>
        <w:rPr>
          <w:rFonts w:hint="eastAsia" w:asciiTheme="minorHAnsi" w:hAnsiTheme="minorHAnsi"/>
        </w:rPr>
        <w:t>1</w:t>
      </w:r>
      <w:r>
        <w:rPr>
          <w:rFonts w:asciiTheme="minorHAnsi" w:hAnsiTheme="minorHAnsi"/>
        </w:rPr>
        <w:t>8</w:t>
      </w:r>
      <w:r>
        <w:rPr>
          <w:rFonts w:hint="eastAsia" w:asciiTheme="minorHAnsi" w:hAnsiTheme="minorHAnsi"/>
        </w:rPr>
        <w:t>；202</w:t>
      </w:r>
      <w:r>
        <w:rPr>
          <w:rFonts w:asciiTheme="minorHAnsi" w:hAnsiTheme="minorHAnsi"/>
        </w:rPr>
        <w:t>3</w:t>
      </w:r>
      <w:r>
        <w:rPr>
          <w:rFonts w:hint="eastAsia" w:asciiTheme="minorHAnsi" w:hAnsiTheme="minorHAnsi"/>
        </w:rPr>
        <w:t>年Times高等教育世界大学综合排名</w:t>
      </w:r>
      <w:r>
        <w:rPr>
          <w:rFonts w:asciiTheme="minorHAnsi" w:hAnsiTheme="minorHAnsi"/>
        </w:rPr>
        <w:t>第</w:t>
      </w:r>
      <w:r>
        <w:rPr>
          <w:rFonts w:hint="eastAsia" w:asciiTheme="minorHAnsi" w:hAnsiTheme="minorHAnsi"/>
        </w:rPr>
        <w:t>18</w:t>
      </w:r>
      <w:r>
        <w:rPr>
          <w:rFonts w:asciiTheme="minorHAnsi" w:hAnsiTheme="minorHAnsi"/>
        </w:rPr>
        <w:t>位</w:t>
      </w:r>
      <w:r>
        <w:rPr>
          <w:rFonts w:hint="eastAsia" w:asciiTheme="minorHAnsi" w:hAnsiTheme="minorHAnsi"/>
        </w:rPr>
        <w:t>。</w:t>
      </w:r>
      <w:r>
        <w:rPr>
          <w:rFonts w:asciiTheme="minorHAnsi" w:hAnsiTheme="minorHAnsi"/>
        </w:rPr>
        <w:t>同时，该校也是</w:t>
      </w:r>
      <w:r>
        <w:rPr>
          <w:rFonts w:cs="Arial" w:asciiTheme="minorHAnsi" w:hAnsiTheme="minorHAnsi"/>
          <w:color w:val="333333"/>
          <w:kern w:val="0"/>
        </w:rPr>
        <w:t>美国大学协会</w:t>
      </w:r>
      <w:r>
        <w:rPr>
          <w:rFonts w:cs="Arial" w:asciiTheme="minorHAnsi" w:hAnsiTheme="minorHAnsi"/>
          <w:color w:val="333333"/>
          <w:kern w:val="0"/>
          <w:szCs w:val="21"/>
        </w:rPr>
        <w:t>（北美大学联盟）中仅有的两所非美国学府之一</w:t>
      </w:r>
      <w:r>
        <w:rPr>
          <w:rFonts w:hint="eastAsia" w:cs="Arial" w:asciiTheme="minorHAnsi" w:hAnsiTheme="minorHAnsi"/>
          <w:color w:val="333333"/>
          <w:kern w:val="0"/>
          <w:szCs w:val="21"/>
        </w:rPr>
        <w:t>；</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cs="Arial" w:asciiTheme="minorHAnsi" w:hAnsiTheme="minorHAnsi"/>
          <w:color w:val="333333"/>
          <w:kern w:val="0"/>
          <w:szCs w:val="21"/>
        </w:rPr>
        <w:t>多伦多是</w:t>
      </w:r>
      <w:r>
        <w:rPr>
          <w:rFonts w:hint="eastAsia" w:ascii="Arial" w:hAnsi="Arial" w:cs="Arial"/>
          <w:color w:val="333333"/>
          <w:kern w:val="0"/>
          <w:szCs w:val="21"/>
        </w:rPr>
        <w:t>加拿大第一大城市与北美第四大城市，也是世界著名的最多元化、最安全宜居的国际化大都市，拥有怡人的环境和高品质的生活。</w:t>
      </w:r>
    </w:p>
    <w:p>
      <w:pPr>
        <w:pStyle w:val="19"/>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2024年1</w:t>
      </w:r>
      <w:r>
        <w:rPr>
          <w:rFonts w:hint="eastAsia" w:asciiTheme="minorHAnsi" w:hAnsiTheme="minorHAnsi" w:eastAsiaTheme="majorEastAsia" w:cstheme="minorHAnsi"/>
          <w:szCs w:val="21"/>
        </w:rPr>
        <w:t>月</w:t>
      </w:r>
      <w:r>
        <w:rPr>
          <w:rFonts w:asciiTheme="minorHAnsi" w:hAnsiTheme="minorHAnsi" w:eastAsiaTheme="majorEastAsia" w:cstheme="minorHAnsi"/>
          <w:szCs w:val="21"/>
        </w:rPr>
        <w:t>8</w:t>
      </w:r>
      <w:r>
        <w:rPr>
          <w:rFonts w:hint="eastAsia" w:asciiTheme="minorHAnsi" w:hAnsiTheme="minorHAnsi" w:eastAsiaTheme="majorEastAsia" w:cstheme="minorHAnsi"/>
          <w:szCs w:val="21"/>
        </w:rPr>
        <w:t xml:space="preserve">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月</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日，或</w:t>
      </w:r>
      <w:r>
        <w:rPr>
          <w:rFonts w:asciiTheme="minorHAnsi" w:hAnsiTheme="minorHAnsi" w:eastAsiaTheme="majorEastAsia" w:cstheme="minorHAnsi"/>
          <w:szCs w:val="21"/>
        </w:rPr>
        <w:t>2月5日 – 3月1日</w:t>
      </w:r>
      <w:r>
        <w:rPr>
          <w:rFonts w:hint="eastAsia" w:cs="Arial" w:asciiTheme="minorHAnsi" w:hAnsiTheme="minorHAnsi"/>
          <w:color w:val="333333"/>
          <w:kern w:val="0"/>
          <w:szCs w:val="21"/>
        </w:rPr>
        <w:t>（4周）</w:t>
      </w:r>
      <w:r>
        <w:rPr>
          <w:rFonts w:cs="Arial" w:asciiTheme="minorHAnsi" w:hAnsiTheme="minorHAnsi"/>
          <w:color w:val="333333"/>
          <w:kern w:val="0"/>
          <w:szCs w:val="21"/>
        </w:rPr>
        <w:t xml:space="preserve">   </w:t>
      </w:r>
      <w:r>
        <w:rPr>
          <w:rFonts w:asciiTheme="minorHAnsi" w:hAnsiTheme="minorHAnsi" w:eastAsiaTheme="majorEastAsia" w:cstheme="minorHAnsi"/>
          <w:b/>
          <w:bCs/>
          <w:kern w:val="0"/>
          <w:szCs w:val="21"/>
        </w:rPr>
        <w:br w:type="textWrapping"/>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参加多伦多大学</w:t>
      </w:r>
      <w:r>
        <w:rPr>
          <w:rFonts w:hint="eastAsia" w:asciiTheme="minorHAnsi" w:hAnsiTheme="minorHAnsi" w:eastAsiaTheme="majorEastAsia" w:cstheme="minorHAnsi"/>
          <w:kern w:val="0"/>
          <w:szCs w:val="21"/>
        </w:rPr>
        <w:t>暑期</w:t>
      </w:r>
      <w:r>
        <w:rPr>
          <w:rFonts w:asciiTheme="minorHAnsi" w:hAnsiTheme="minorHAnsi" w:eastAsiaTheme="majorEastAsia" w:cstheme="minorHAnsi"/>
          <w:kern w:val="0"/>
          <w:szCs w:val="21"/>
        </w:rPr>
        <w:t>语言项目的学生</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“高效沟通英语”课程（English for Effective Communication），或“商务沟通英语”课程（E</w:t>
      </w:r>
      <w:r>
        <w:rPr>
          <w:rFonts w:asciiTheme="minorHAnsi" w:hAnsiTheme="minorHAnsi" w:eastAsiaTheme="majorEastAsia" w:cstheme="minorHAnsi"/>
          <w:szCs w:val="21"/>
        </w:rPr>
        <w:t>nglish for Business Communication</w:t>
      </w:r>
      <w:r>
        <w:rPr>
          <w:rFonts w:hint="eastAsia" w:asciiTheme="minorHAnsi" w:hAnsiTheme="minorHAnsi" w:eastAsiaTheme="majorEastAsia" w:cstheme="minorHAnsi"/>
          <w:szCs w:val="21"/>
        </w:rPr>
        <w:t>）。</w:t>
      </w:r>
      <w:r>
        <w:rPr>
          <w:rFonts w:asciiTheme="minorHAnsi" w:hAnsiTheme="minorHAnsi" w:eastAsiaTheme="majorEastAsia" w:cstheme="minorHAnsi"/>
          <w:szCs w:val="21"/>
        </w:rPr>
        <w:br w:type="textWrapping"/>
      </w:r>
    </w:p>
    <w:p>
      <w:pPr>
        <w:spacing w:line="360" w:lineRule="auto"/>
        <w:ind w:firstLine="422" w:firstLineChars="200"/>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高效沟通英语</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课程旨在提升学生的日常英语沟通能力，适合初级至高级各级别的学生。课程通过基于主题的任务或教学活动，综合提升学生的听说读写各项技巧，主要内容包括：</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提升口语表达的流畅度、精准度与自信心</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通过参加教学任务与小组讨论，扩展词汇储备</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通过与教师以及世界各地同学的沟通互动，提高听力理解与口语技巧</w:t>
      </w:r>
    </w:p>
    <w:p>
      <w:pPr>
        <w:pStyle w:val="19"/>
        <w:numPr>
          <w:ilvl w:val="0"/>
          <w:numId w:val="3"/>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了解加拿大与北美的文化</w:t>
      </w:r>
    </w:p>
    <w:p>
      <w:pPr>
        <w:spacing w:line="360" w:lineRule="auto"/>
        <w:ind w:left="420"/>
        <w:rPr>
          <w:rFonts w:asciiTheme="minorHAnsi" w:hAnsiTheme="minorHAnsi" w:eastAsiaTheme="majorEastAsia" w:cstheme="minorHAnsi"/>
          <w:szCs w:val="21"/>
        </w:rPr>
      </w:pPr>
      <w:r>
        <w:rPr>
          <w:rFonts w:hint="eastAsia" w:asciiTheme="minorHAnsi" w:hAnsiTheme="minorHAnsi" w:eastAsiaTheme="majorEastAsia" w:cstheme="minorHAnsi"/>
          <w:szCs w:val="21"/>
        </w:rPr>
        <w:t>授课老师会根据学生的实际水平，来安排有针对性的课堂教学活动，比如参与小组讨论、</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设计调查问卷、在线收看视频并参加小测试、在线的口语会话测试等。 通过不同形式的任务，学生将建立有效使用英语沟通的自信，尤其是提高英语听说技能。</w:t>
      </w:r>
    </w:p>
    <w:p>
      <w:pPr>
        <w:spacing w:line="360" w:lineRule="auto"/>
        <w:ind w:firstLine="420" w:firstLineChars="200"/>
        <w:rPr>
          <w:rFonts w:asciiTheme="minorHAnsi" w:hAnsiTheme="minorHAnsi" w:eastAsiaTheme="majorEastAsia" w:cstheme="minorHAnsi"/>
          <w:szCs w:val="21"/>
        </w:rPr>
      </w:pPr>
    </w:p>
    <w:p>
      <w:pPr>
        <w:spacing w:line="360" w:lineRule="auto"/>
        <w:ind w:firstLine="422" w:firstLineChars="200"/>
        <w:rPr>
          <w:rFonts w:asciiTheme="minorHAnsi" w:hAnsiTheme="minorHAnsi" w:eastAsiaTheme="majorEastAsia" w:cstheme="minorHAnsi"/>
          <w:b/>
          <w:bCs/>
          <w:szCs w:val="21"/>
          <w:u w:val="single"/>
        </w:rPr>
      </w:pPr>
      <w:r>
        <w:rPr>
          <w:rFonts w:hint="eastAsia" w:asciiTheme="minorHAnsi" w:hAnsiTheme="minorHAnsi" w:eastAsiaTheme="majorEastAsia" w:cstheme="minorHAnsi"/>
          <w:b/>
          <w:bCs/>
          <w:szCs w:val="21"/>
          <w:u w:val="single"/>
        </w:rPr>
        <w:t>商务沟通英语</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课程旨在提升学生在国际商务环境中有效使用英语所需的语言和技能。 学生将通过参与与国际商业环境相关的教学任务和情境，提高阅读、写作、听力和口语技能，从而加强使用英语进行商务沟通的能力和信心。课程主要内容包括：</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培养在职业环境中通过口语和写作进行沟通的技能和策略</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提高阅读和聆听与商务主题相关的文本的熟练程度</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运用听说技巧与来自不同语言背景的人互动</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提升公众演讲的自信心</w:t>
      </w:r>
    </w:p>
    <w:p>
      <w:pPr>
        <w:pStyle w:val="19"/>
        <w:numPr>
          <w:ilvl w:val="0"/>
          <w:numId w:val="4"/>
        </w:numPr>
        <w:spacing w:line="360" w:lineRule="auto"/>
        <w:ind w:firstLineChars="0"/>
        <w:rPr>
          <w:rFonts w:cs="Calibri" w:asciiTheme="minorHAnsi" w:hAnsiTheme="minorHAnsi"/>
          <w:sz w:val="22"/>
          <w:szCs w:val="22"/>
        </w:rPr>
      </w:pPr>
      <w:r>
        <w:rPr>
          <w:rFonts w:hint="eastAsia" w:asciiTheme="minorHAnsi" w:hAnsiTheme="minorHAnsi" w:eastAsiaTheme="majorEastAsia" w:cstheme="minorHAnsi"/>
          <w:szCs w:val="21"/>
        </w:rPr>
        <w:t>展示出与职业环境相匹配的语言意识</w:t>
      </w:r>
    </w:p>
    <w:p>
      <w:pPr>
        <w:spacing w:line="360" w:lineRule="auto"/>
        <w:rPr>
          <w:rFonts w:cs="Calibri" w:asciiTheme="minorHAnsi" w:hAnsiTheme="minorHAnsi"/>
          <w:sz w:val="22"/>
          <w:szCs w:val="22"/>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多伦多大学</w:t>
      </w:r>
      <w:r>
        <w:rPr>
          <w:rFonts w:hint="eastAsia" w:cs="Calibri" w:asciiTheme="minorHAnsi" w:hAnsiTheme="minorHAnsi"/>
          <w:szCs w:val="21"/>
        </w:rPr>
        <w:t>正式注册的学生证，凭借学生证可在项目期内，按校方规定使用学校的校园设施与教育资源，包括图书馆、健身房、活动中心等。学生将入住当地的寄宿家庭，能够更加迅速提高自己的语言水平，体验当地的社会与文化。</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参考日程</w:t>
      </w:r>
      <w:r>
        <w:rPr>
          <w:rFonts w:cs="Calibri" w:asciiTheme="minorHAnsi" w:hAnsiTheme="minorHAnsi"/>
          <w:szCs w:val="21"/>
        </w:rPr>
        <w:t>】</w:t>
      </w:r>
    </w:p>
    <w:p>
      <w:pPr>
        <w:widowControl/>
        <w:spacing w:line="360" w:lineRule="auto"/>
        <w:jc w:val="left"/>
        <w:rPr>
          <w:rFonts w:asciiTheme="minorHAnsi" w:hAnsiTheme="minorHAnsi" w:eastAsiaTheme="majorEastAsia" w:cstheme="minorHAnsi"/>
          <w:szCs w:val="21"/>
        </w:rPr>
      </w:pPr>
      <w:r>
        <w:rPr>
          <w:rFonts w:hint="eastAsia" w:cs="Calibri" w:asciiTheme="minorHAnsi" w:hAnsiTheme="minorHAnsi"/>
          <w:szCs w:val="21"/>
        </w:rPr>
        <w:t xml:space="preserve"> </w:t>
      </w:r>
      <w:r>
        <w:rPr>
          <w:rFonts w:cs="Calibri" w:asciiTheme="minorHAnsi" w:hAnsiTheme="minorHAnsi"/>
          <w:szCs w:val="21"/>
        </w:rPr>
        <w:t xml:space="preserve">   </w:t>
      </w:r>
      <w:r>
        <w:rPr>
          <w:rFonts w:hint="eastAsia" w:cs="Calibri" w:asciiTheme="minorHAnsi" w:hAnsiTheme="minorHAnsi"/>
          <w:szCs w:val="21"/>
        </w:rPr>
        <w:t>以下为高效沟通英语的参考课程安排，具体课程内容因不同语言级别而存在差异，需以实际安排为准。</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b/>
                <w:bCs/>
                <w:szCs w:val="21"/>
              </w:rPr>
            </w:pPr>
            <w:r>
              <w:rPr>
                <w:rFonts w:hint="eastAsia" w:cs="Calibri" w:asciiTheme="minorHAnsi" w:hAnsiTheme="minorHAnsi"/>
                <w:b/>
                <w:bCs/>
                <w:szCs w:val="21"/>
              </w:rPr>
              <w:t>第一周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模块一：项目启动</w:t>
            </w:r>
          </w:p>
        </w:tc>
        <w:tc>
          <w:tcPr>
            <w:tcW w:w="5386" w:type="dxa"/>
          </w:tcPr>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学习需求分析/互动式介绍环节</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不同目标的电子邮件撰写技巧</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邮件沟通的语调与语域</w:t>
            </w:r>
          </w:p>
          <w:p>
            <w:pPr>
              <w:pStyle w:val="19"/>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如何在会话中避免模式化套话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模块二：探索文化</w:t>
            </w:r>
          </w:p>
        </w:tc>
        <w:tc>
          <w:tcPr>
            <w:tcW w:w="5386" w:type="dxa"/>
          </w:tcPr>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 xml:space="preserve">如何定义文化冲突 </w:t>
            </w:r>
            <w:r>
              <w:rPr>
                <w:rFonts w:cs="Calibri" w:asciiTheme="minorHAnsi" w:hAnsiTheme="minorHAnsi"/>
                <w:szCs w:val="21"/>
              </w:rPr>
              <w:t xml:space="preserve">– </w:t>
            </w:r>
            <w:r>
              <w:rPr>
                <w:rFonts w:hint="eastAsia" w:cs="Calibri" w:asciiTheme="minorHAnsi" w:hAnsiTheme="minorHAnsi"/>
                <w:szCs w:val="21"/>
              </w:rPr>
              <w:t>阅读练习</w:t>
            </w:r>
          </w:p>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根据阅读材料进行口头汇报</w:t>
            </w:r>
          </w:p>
          <w:p>
            <w:pPr>
              <w:pStyle w:val="19"/>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在不同场景中提供建议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第二周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模块二：探索文化</w:t>
            </w:r>
          </w:p>
        </w:tc>
        <w:tc>
          <w:tcPr>
            <w:tcW w:w="5386" w:type="dxa"/>
          </w:tcPr>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针对加拿大文化的实践性研究</w:t>
            </w:r>
          </w:p>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参与有关文化实践的小组研讨</w:t>
            </w:r>
          </w:p>
          <w:p>
            <w:pPr>
              <w:pStyle w:val="19"/>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如何运用情态动词、模糊语与条件从句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模块三：产品，发明与推广</w:t>
            </w:r>
          </w:p>
        </w:tc>
        <w:tc>
          <w:tcPr>
            <w:tcW w:w="5386" w:type="dxa"/>
          </w:tcPr>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开展基于学生访谈的市场调研</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讨论调研成果</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探讨成功的推广技巧</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设计一个能够解决社会问题的产品，并策划推广活动</w:t>
            </w:r>
          </w:p>
          <w:p>
            <w:pPr>
              <w:pStyle w:val="19"/>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有说服性的语言技巧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第三周</w:t>
            </w:r>
          </w:p>
        </w:tc>
        <w:tc>
          <w:tcPr>
            <w:tcW w:w="5386" w:type="dxa"/>
          </w:tcPr>
          <w:p>
            <w:pPr>
              <w:spacing w:line="360" w:lineRule="auto"/>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模块四：关于性格</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探讨不同的性格特质</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如何描述一个人的性格</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性格小测试</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为不同性格的语言学习者提供建议</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录制个人视频，检验语言学习成果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模块五：关于电影</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讨论电影类别</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电影的总结与评论</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策划电影情节</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利用影评来练习改写技巧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b/>
                <w:bCs/>
                <w:szCs w:val="21"/>
              </w:rPr>
              <w:t>第四周</w:t>
            </w:r>
          </w:p>
        </w:tc>
        <w:tc>
          <w:tcPr>
            <w:tcW w:w="5386" w:type="dxa"/>
          </w:tcPr>
          <w:p>
            <w:pPr>
              <w:pStyle w:val="19"/>
              <w:spacing w:line="360" w:lineRule="auto"/>
              <w:ind w:left="440" w:firstLine="0" w:firstLineChars="0"/>
              <w:rPr>
                <w:rFonts w:cs="Calibri" w:asciiTheme="minorHAnsi" w:hAnsiTheme="minorHAns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模块六：职场生涯与领导力</w:t>
            </w:r>
          </w:p>
        </w:tc>
        <w:tc>
          <w:tcPr>
            <w:tcW w:w="5386" w:type="dxa"/>
          </w:tcPr>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讨论性格特质与职场技能</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参加面试的回答技巧</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分析不同类型的面试回应</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模拟录制面试视频，分析面试用语</w:t>
            </w:r>
          </w:p>
          <w:p>
            <w:pPr>
              <w:pStyle w:val="19"/>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关于领导力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52" w:type="dxa"/>
          </w:tcPr>
          <w:p>
            <w:pPr>
              <w:spacing w:line="360" w:lineRule="auto"/>
              <w:rPr>
                <w:rFonts w:cs="Calibri" w:asciiTheme="minorHAnsi" w:hAnsiTheme="minorHAnsi"/>
                <w:szCs w:val="21"/>
              </w:rPr>
            </w:pPr>
            <w:r>
              <w:rPr>
                <w:rFonts w:hint="eastAsia" w:cs="Calibri" w:asciiTheme="minorHAnsi" w:hAnsiTheme="minorHAnsi"/>
                <w:szCs w:val="21"/>
              </w:rPr>
              <w:t>课程总结</w:t>
            </w:r>
          </w:p>
        </w:tc>
        <w:tc>
          <w:tcPr>
            <w:tcW w:w="5386" w:type="dxa"/>
          </w:tcPr>
          <w:p>
            <w:pPr>
              <w:pStyle w:val="19"/>
              <w:spacing w:line="360" w:lineRule="auto"/>
              <w:ind w:left="440" w:firstLine="0" w:firstLineChars="0"/>
              <w:rPr>
                <w:rFonts w:cs="Calibri" w:asciiTheme="minorHAnsi" w:hAnsiTheme="minorHAnsi"/>
                <w:szCs w:val="21"/>
              </w:rPr>
            </w:pPr>
          </w:p>
        </w:tc>
      </w:tr>
    </w:tbl>
    <w:p>
      <w:pPr>
        <w:spacing w:line="360" w:lineRule="auto"/>
        <w:rPr>
          <w:rFonts w:cs="Calibri" w:asciiTheme="minorHAnsi" w:hAnsiTheme="minorHAnsi"/>
          <w:sz w:val="22"/>
          <w:szCs w:val="22"/>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文化活动</w:t>
      </w:r>
      <w:r>
        <w:rPr>
          <w:rFonts w:cs="Calibri" w:asciiTheme="minorHAnsi" w:hAnsiTheme="minorHAnsi"/>
          <w:szCs w:val="21"/>
        </w:rPr>
        <w:t>】</w:t>
      </w:r>
    </w:p>
    <w:p>
      <w:pPr>
        <w:spacing w:line="360" w:lineRule="auto"/>
        <w:rPr>
          <w:rFonts w:ascii="Calibri" w:hAnsi="Calibri" w:cs="Calibri"/>
        </w:rPr>
      </w:pPr>
      <w:r>
        <w:rPr>
          <w:rFonts w:ascii="Calibri" w:hAnsi="Calibri" w:cs="Calibri"/>
        </w:rPr>
        <w:t xml:space="preserve">     </w:t>
      </w:r>
      <w:r>
        <w:rPr>
          <w:rFonts w:hint="eastAsia" w:ascii="Calibri" w:hAnsi="Calibri" w:cs="Calibri"/>
        </w:rPr>
        <w:t xml:space="preserve">多伦多大学语言中心在项目期间，会为国际学生组织各类丰富多彩的文化活动，以丰富他们的学习体验，如校园参观、桌游活动、电影之夜、滑冰活动、参观皇家安大略博物馆、参访当地的著名市场、尼亚加拉大瀑布之旅、参观当地艺术馆、观看冰球比赛等，学生可根据自身兴趣选择参加免费或付费的活动，获得丰富的学习体验。 </w:t>
      </w:r>
      <w:r>
        <w:rPr>
          <w:rFonts w:ascii="Calibri" w:hAnsi="Calibri" w:cs="Calibri"/>
        </w:rPr>
        <w:t xml:space="preserve">   </w:t>
      </w:r>
    </w:p>
    <w:p>
      <w:pPr>
        <w:spacing w:line="360" w:lineRule="auto"/>
        <w:rPr>
          <w:rFonts w:ascii="Calibri" w:hAnsi="Calibri" w:cs="Calibri"/>
        </w:rPr>
      </w:pPr>
    </w:p>
    <w:p>
      <w:pPr>
        <w:spacing w:line="360" w:lineRule="auto"/>
        <w:rPr>
          <w:rFonts w:ascii="Calibri" w:hAnsi="Calibri" w:cs="Calibri"/>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Calibri" w:hAnsi="Calibri" w:cs="Calibri"/>
        </w:rPr>
      </w:pPr>
      <w:r>
        <w:rPr>
          <w:rFonts w:asciiTheme="minorHAnsi" w:hAnsiTheme="minorHAnsi" w:eastAsiaTheme="majorEastAsia" w:cstheme="minorHAnsi"/>
          <w:szCs w:val="21"/>
        </w:rPr>
        <w:t>参加项目的学生与多伦多大学在读的语言项目学生混合编班，由多大进行统一的学术管理与学术考核，</w:t>
      </w:r>
      <w:r>
        <w:rPr>
          <w:rFonts w:hint="eastAsia" w:asciiTheme="minorHAnsi" w:hAnsiTheme="minorHAnsi" w:eastAsiaTheme="majorEastAsia" w:cstheme="minorHAnsi"/>
          <w:szCs w:val="21"/>
        </w:rPr>
        <w:t>考核内容包括教学任务、听力理解评估、口语表达评估以及小组项目。顺利完成所有课程，并通过学术考核的学生，将获得多伦多大学出具的正式成绩单。</w:t>
      </w:r>
    </w:p>
    <w:p>
      <w:pPr>
        <w:pStyle w:val="19"/>
        <w:widowControl/>
        <w:spacing w:line="360" w:lineRule="auto"/>
        <w:ind w:left="840" w:firstLine="0" w:firstLineChars="0"/>
        <w:jc w:val="left"/>
        <w:rPr>
          <w:rFonts w:asciiTheme="minorHAnsi" w:hAnsiTheme="minorHAnsi" w:eastAsiaTheme="majorEastAsia" w:cstheme="minorHAnsi"/>
          <w:bCs/>
          <w:kern w:val="0"/>
          <w:szCs w:val="21"/>
        </w:rPr>
      </w:pPr>
    </w:p>
    <w:p>
      <w:pPr>
        <w:pStyle w:val="19"/>
        <w:widowControl/>
        <w:spacing w:line="360" w:lineRule="auto"/>
        <w:ind w:left="840" w:firstLine="0" w:firstLineChars="0"/>
        <w:jc w:val="left"/>
        <w:rPr>
          <w:rFonts w:asciiTheme="minorHAnsi" w:hAnsiTheme="minorHAnsi" w:eastAsiaTheme="majorEastAsia" w:cstheme="minorHAnsi"/>
          <w:bCs/>
          <w:kern w:val="0"/>
          <w:szCs w:val="21"/>
        </w:rPr>
      </w:pPr>
      <w:r>
        <w:drawing>
          <wp:inline distT="0" distB="0" distL="0" distR="0">
            <wp:extent cx="2795905" cy="3917950"/>
            <wp:effectExtent l="0" t="0" r="444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798712" cy="3921039"/>
                    </a:xfrm>
                    <a:prstGeom prst="rect">
                      <a:avLst/>
                    </a:prstGeom>
                  </pic:spPr>
                </pic:pic>
              </a:graphicData>
            </a:graphic>
          </wp:inline>
        </w:drawing>
      </w:r>
    </w:p>
    <w:p>
      <w:pPr>
        <w:pStyle w:val="19"/>
        <w:widowControl/>
        <w:spacing w:line="360" w:lineRule="auto"/>
        <w:ind w:left="840" w:firstLine="0" w:firstLineChars="0"/>
        <w:jc w:val="left"/>
        <w:rPr>
          <w:rFonts w:asciiTheme="minorHAnsi" w:hAnsiTheme="minorHAnsi" w:eastAsiaTheme="majorEastAsia" w:cstheme="minorHAnsi"/>
          <w:bCs/>
          <w:kern w:val="0"/>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约3,</w:t>
            </w:r>
            <w:r>
              <w:rPr>
                <w:rFonts w:asciiTheme="minorHAnsi" w:hAnsiTheme="minorHAnsi" w:eastAsiaTheme="majorEastAsia" w:cstheme="minorHAnsi"/>
                <w:szCs w:val="21"/>
              </w:rPr>
              <w:t>892</w:t>
            </w:r>
            <w:r>
              <w:rPr>
                <w:rFonts w:hint="eastAsia" w:asciiTheme="minorHAnsi" w:hAnsiTheme="minorHAnsi" w:eastAsiaTheme="majorEastAsia" w:cstheme="minorHAnsi"/>
                <w:szCs w:val="21"/>
              </w:rPr>
              <w:t>加元（约合人民币</w:t>
            </w:r>
            <w:r>
              <w:rPr>
                <w:rFonts w:asciiTheme="minorHAnsi" w:hAnsiTheme="minorHAnsi" w:eastAsiaTheme="majorEastAsia" w:cstheme="minorHAnsi"/>
                <w:szCs w:val="21"/>
              </w:rPr>
              <w:t>2.14</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学费、医疗与意外保险、接机、及项目管理费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注：多伦多地区的寄宿费用大约为每月</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500</w:t>
            </w:r>
            <w:r>
              <w:rPr>
                <w:rFonts w:hint="eastAsia" w:asciiTheme="minorHAnsi" w:hAnsiTheme="minorHAnsi" w:eastAsiaTheme="majorEastAsia" w:cstheme="minorHAnsi"/>
                <w:szCs w:val="21"/>
              </w:rPr>
              <w:t>加元左右</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widowControl/>
        <w:numPr>
          <w:ilvl w:val="0"/>
          <w:numId w:val="10"/>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入学</w:t>
      </w:r>
      <w:r>
        <w:rPr>
          <w:rFonts w:hint="eastAsia" w:asciiTheme="minorHAnsi" w:hAnsiTheme="minorHAnsi" w:eastAsiaTheme="majorEastAsia" w:cstheme="minorHAnsi"/>
          <w:szCs w:val="21"/>
        </w:rPr>
        <w:t>前</w:t>
      </w:r>
      <w:r>
        <w:rPr>
          <w:rFonts w:asciiTheme="minorHAnsi" w:hAnsiTheme="minorHAnsi" w:eastAsiaTheme="majorEastAsia" w:cstheme="minorHAnsi"/>
          <w:szCs w:val="21"/>
        </w:rPr>
        <w:t>参加语言</w:t>
      </w:r>
      <w:r>
        <w:rPr>
          <w:rFonts w:hint="eastAsia" w:asciiTheme="minorHAnsi" w:hAnsiTheme="minorHAnsi" w:eastAsiaTheme="majorEastAsia" w:cstheme="minorHAnsi"/>
          <w:szCs w:val="21"/>
        </w:rPr>
        <w:t>分级</w:t>
      </w:r>
      <w:r>
        <w:rPr>
          <w:rFonts w:asciiTheme="minorHAnsi" w:hAnsiTheme="minorHAnsi" w:eastAsiaTheme="majorEastAsia" w:cstheme="minorHAnsi"/>
          <w:szCs w:val="21"/>
        </w:rPr>
        <w:t>测试</w:t>
      </w:r>
      <w:r>
        <w:rPr>
          <w:rFonts w:hint="eastAsia" w:asciiTheme="minorHAnsi" w:hAnsiTheme="minorHAnsi" w:eastAsiaTheme="majorEastAsia" w:cstheme="minorHAnsi"/>
          <w:szCs w:val="21"/>
        </w:rPr>
        <w:t xml:space="preserve">；商务沟通英语需达到中级以上水平 </w:t>
      </w:r>
    </w:p>
    <w:p>
      <w:pPr>
        <w:pStyle w:val="19"/>
        <w:numPr>
          <w:ilvl w:val="0"/>
          <w:numId w:val="10"/>
        </w:numPr>
        <w:spacing w:line="360" w:lineRule="auto"/>
        <w:ind w:firstLineChars="0"/>
        <w:rPr>
          <w:rFonts w:ascii="Calibri" w:hAnsi="Calibri" w:cs="Calibri"/>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 xml:space="preserve">方式： </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hint="eastAsia" w:ascii="Calibri" w:hAnsi="Calibri" w:cs="Calibri"/>
          <w:szCs w:val="21"/>
        </w:rPr>
        <w:t>；</w:t>
      </w:r>
    </w:p>
    <w:p>
      <w:pPr>
        <w:pStyle w:val="19"/>
        <w:numPr>
          <w:ilvl w:val="0"/>
          <w:numId w:val="10"/>
        </w:numPr>
        <w:spacing w:line="360" w:lineRule="auto"/>
        <w:ind w:firstLineChars="0"/>
        <w:rPr>
          <w:rFonts w:ascii="Calibri" w:hAnsi="Calibri" w:cs="Calibri"/>
          <w:szCs w:val="21"/>
        </w:rPr>
      </w:pPr>
      <w:r>
        <w:rPr>
          <w:rFonts w:asciiTheme="minorHAnsi" w:hAnsiTheme="minorHAnsi" w:eastAsiaTheme="majorEastAsia" w:cstheme="minorHAnsi"/>
          <w:b/>
          <w:bCs/>
          <w:szCs w:val="21"/>
        </w:rPr>
        <w:t>截止日期</w:t>
      </w:r>
      <w:r>
        <w:rPr>
          <w:rFonts w:asciiTheme="minorHAnsi" w:hAnsiTheme="minorHAnsi" w:eastAsiaTheme="majorEastAsia" w:cstheme="minorHAnsi"/>
          <w:szCs w:val="21"/>
        </w:rPr>
        <w:t>：2月项目2023年10月9日；2月项目2023年11月10日</w:t>
      </w: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4"/>
          <w:rFonts w:asciiTheme="minorHAnsi" w:hAnsiTheme="minorHAnsi"/>
          <w:szCs w:val="21"/>
        </w:rPr>
        <w:t>visit_Adelaide@yeah.net</w:t>
      </w:r>
      <w:r>
        <w:rPr>
          <w:rStyle w:val="14"/>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2" name="图片 2"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报名二维码"/>
                    <pic:cNvPicPr>
                      <a:picLocks noChangeAspect="1"/>
                    </pic:cNvPicPr>
                  </pic:nvPicPr>
                  <pic:blipFill>
                    <a:blip r:embed="rId7"/>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bookmarkStart w:id="0" w:name="_GoBack"/>
      <w:bookmarkEnd w:id="0"/>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8"/>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90D1C"/>
    <w:multiLevelType w:val="multilevel"/>
    <w:tmpl w:val="19A90D1C"/>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42A0A2A"/>
    <w:multiLevelType w:val="multilevel"/>
    <w:tmpl w:val="242A0A2A"/>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3">
    <w:nsid w:val="412E4E01"/>
    <w:multiLevelType w:val="multilevel"/>
    <w:tmpl w:val="412E4E0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47275B1C"/>
    <w:multiLevelType w:val="multilevel"/>
    <w:tmpl w:val="47275B1C"/>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5">
    <w:nsid w:val="47D87E00"/>
    <w:multiLevelType w:val="multilevel"/>
    <w:tmpl w:val="47D87E00"/>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6">
    <w:nsid w:val="5F4065E1"/>
    <w:multiLevelType w:val="multilevel"/>
    <w:tmpl w:val="5F4065E1"/>
    <w:lvl w:ilvl="0" w:tentative="0">
      <w:start w:val="1"/>
      <w:numFmt w:val="bullet"/>
      <w:lvlText w:val=""/>
      <w:lvlJc w:val="left"/>
      <w:pPr>
        <w:ind w:left="440" w:hanging="440"/>
      </w:pPr>
      <w:rPr>
        <w:rFonts w:hint="default" w:ascii="Symbol" w:hAnsi="Symbol"/>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7">
    <w:nsid w:val="6F0D107F"/>
    <w:multiLevelType w:val="multilevel"/>
    <w:tmpl w:val="6F0D107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745F2F15"/>
    <w:multiLevelType w:val="multilevel"/>
    <w:tmpl w:val="745F2F1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9">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8"/>
  </w:num>
  <w:num w:numId="4">
    <w:abstractNumId w:val="7"/>
  </w:num>
  <w:num w:numId="5">
    <w:abstractNumId w:val="4"/>
  </w:num>
  <w:num w:numId="6">
    <w:abstractNumId w:val="2"/>
  </w:num>
  <w:num w:numId="7">
    <w:abstractNumId w:val="5"/>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500A8F"/>
    <w:rsid w:val="000035D7"/>
    <w:rsid w:val="0000590A"/>
    <w:rsid w:val="00005B67"/>
    <w:rsid w:val="00006712"/>
    <w:rsid w:val="00010F31"/>
    <w:rsid w:val="000169DD"/>
    <w:rsid w:val="000176DF"/>
    <w:rsid w:val="00020964"/>
    <w:rsid w:val="00022AFD"/>
    <w:rsid w:val="000230BD"/>
    <w:rsid w:val="00023476"/>
    <w:rsid w:val="000236D2"/>
    <w:rsid w:val="00024C64"/>
    <w:rsid w:val="00025206"/>
    <w:rsid w:val="00027A0F"/>
    <w:rsid w:val="0003068E"/>
    <w:rsid w:val="00030A02"/>
    <w:rsid w:val="00031403"/>
    <w:rsid w:val="000362BD"/>
    <w:rsid w:val="00040016"/>
    <w:rsid w:val="000402B0"/>
    <w:rsid w:val="00041148"/>
    <w:rsid w:val="00041BDA"/>
    <w:rsid w:val="0004230D"/>
    <w:rsid w:val="00044B87"/>
    <w:rsid w:val="00046229"/>
    <w:rsid w:val="000519A2"/>
    <w:rsid w:val="00051A3D"/>
    <w:rsid w:val="0005389A"/>
    <w:rsid w:val="00060047"/>
    <w:rsid w:val="0006181E"/>
    <w:rsid w:val="00061D57"/>
    <w:rsid w:val="00065242"/>
    <w:rsid w:val="00067D4B"/>
    <w:rsid w:val="0007638C"/>
    <w:rsid w:val="000820F9"/>
    <w:rsid w:val="000840CC"/>
    <w:rsid w:val="0009206E"/>
    <w:rsid w:val="000954F4"/>
    <w:rsid w:val="000A0A86"/>
    <w:rsid w:val="000A2A22"/>
    <w:rsid w:val="000A4030"/>
    <w:rsid w:val="000A5251"/>
    <w:rsid w:val="000A5300"/>
    <w:rsid w:val="000B1A29"/>
    <w:rsid w:val="000B488B"/>
    <w:rsid w:val="000C2F7C"/>
    <w:rsid w:val="000C3F5B"/>
    <w:rsid w:val="000C4E56"/>
    <w:rsid w:val="000C5C18"/>
    <w:rsid w:val="000C7850"/>
    <w:rsid w:val="000C7F9A"/>
    <w:rsid w:val="000D3060"/>
    <w:rsid w:val="000D4BC5"/>
    <w:rsid w:val="000E03AC"/>
    <w:rsid w:val="000E1209"/>
    <w:rsid w:val="000E71FC"/>
    <w:rsid w:val="000E7915"/>
    <w:rsid w:val="000F10F6"/>
    <w:rsid w:val="000F140D"/>
    <w:rsid w:val="000F168E"/>
    <w:rsid w:val="000F38D7"/>
    <w:rsid w:val="000F6E7C"/>
    <w:rsid w:val="00100174"/>
    <w:rsid w:val="001013E1"/>
    <w:rsid w:val="0010196F"/>
    <w:rsid w:val="001051AF"/>
    <w:rsid w:val="00106BA3"/>
    <w:rsid w:val="00110B1F"/>
    <w:rsid w:val="00110EDA"/>
    <w:rsid w:val="0011231F"/>
    <w:rsid w:val="00112EFC"/>
    <w:rsid w:val="001131EA"/>
    <w:rsid w:val="001165AD"/>
    <w:rsid w:val="00116EF3"/>
    <w:rsid w:val="00120A5E"/>
    <w:rsid w:val="0012340B"/>
    <w:rsid w:val="0012488E"/>
    <w:rsid w:val="00124B0D"/>
    <w:rsid w:val="00125024"/>
    <w:rsid w:val="00127C1E"/>
    <w:rsid w:val="00127FE8"/>
    <w:rsid w:val="00131D30"/>
    <w:rsid w:val="00132D90"/>
    <w:rsid w:val="0013365F"/>
    <w:rsid w:val="00134011"/>
    <w:rsid w:val="00135388"/>
    <w:rsid w:val="00135F93"/>
    <w:rsid w:val="00137744"/>
    <w:rsid w:val="00143294"/>
    <w:rsid w:val="00146AB9"/>
    <w:rsid w:val="00154D29"/>
    <w:rsid w:val="001553F4"/>
    <w:rsid w:val="00167799"/>
    <w:rsid w:val="00167C8D"/>
    <w:rsid w:val="00170451"/>
    <w:rsid w:val="00173611"/>
    <w:rsid w:val="001738F0"/>
    <w:rsid w:val="00176F21"/>
    <w:rsid w:val="00182E04"/>
    <w:rsid w:val="001834A2"/>
    <w:rsid w:val="00186190"/>
    <w:rsid w:val="00192C0F"/>
    <w:rsid w:val="001A0C7A"/>
    <w:rsid w:val="001A281F"/>
    <w:rsid w:val="001A7D56"/>
    <w:rsid w:val="001B1730"/>
    <w:rsid w:val="001C1A51"/>
    <w:rsid w:val="001C58F1"/>
    <w:rsid w:val="001C6985"/>
    <w:rsid w:val="001D2C48"/>
    <w:rsid w:val="001D4042"/>
    <w:rsid w:val="001D458C"/>
    <w:rsid w:val="001D4EF4"/>
    <w:rsid w:val="001E31D7"/>
    <w:rsid w:val="001E5D98"/>
    <w:rsid w:val="001E6096"/>
    <w:rsid w:val="001F49A8"/>
    <w:rsid w:val="001F5524"/>
    <w:rsid w:val="001F635F"/>
    <w:rsid w:val="00200AC1"/>
    <w:rsid w:val="00201963"/>
    <w:rsid w:val="00202030"/>
    <w:rsid w:val="00203BFF"/>
    <w:rsid w:val="002133F2"/>
    <w:rsid w:val="00213D09"/>
    <w:rsid w:val="00213D47"/>
    <w:rsid w:val="0021575D"/>
    <w:rsid w:val="0021711E"/>
    <w:rsid w:val="002202A8"/>
    <w:rsid w:val="00220949"/>
    <w:rsid w:val="00220E2D"/>
    <w:rsid w:val="002211FB"/>
    <w:rsid w:val="0022214B"/>
    <w:rsid w:val="002274D9"/>
    <w:rsid w:val="00230EA2"/>
    <w:rsid w:val="0023347E"/>
    <w:rsid w:val="002441C6"/>
    <w:rsid w:val="0024447C"/>
    <w:rsid w:val="002449A1"/>
    <w:rsid w:val="0024592F"/>
    <w:rsid w:val="00251642"/>
    <w:rsid w:val="00255140"/>
    <w:rsid w:val="00257E0D"/>
    <w:rsid w:val="002603A7"/>
    <w:rsid w:val="00261406"/>
    <w:rsid w:val="00261C11"/>
    <w:rsid w:val="00271BCB"/>
    <w:rsid w:val="00275270"/>
    <w:rsid w:val="0028056A"/>
    <w:rsid w:val="002852EE"/>
    <w:rsid w:val="00286D6A"/>
    <w:rsid w:val="0029179F"/>
    <w:rsid w:val="00292326"/>
    <w:rsid w:val="00295361"/>
    <w:rsid w:val="00296348"/>
    <w:rsid w:val="00297E1A"/>
    <w:rsid w:val="002A402F"/>
    <w:rsid w:val="002A54D2"/>
    <w:rsid w:val="002B38F6"/>
    <w:rsid w:val="002B61DD"/>
    <w:rsid w:val="002B7076"/>
    <w:rsid w:val="002C2028"/>
    <w:rsid w:val="002C229B"/>
    <w:rsid w:val="002C27D4"/>
    <w:rsid w:val="002C3134"/>
    <w:rsid w:val="002C56A8"/>
    <w:rsid w:val="002C6AEB"/>
    <w:rsid w:val="002C722D"/>
    <w:rsid w:val="002D04D0"/>
    <w:rsid w:val="002D30EE"/>
    <w:rsid w:val="002D76B2"/>
    <w:rsid w:val="002D7905"/>
    <w:rsid w:val="002D7B20"/>
    <w:rsid w:val="002E1476"/>
    <w:rsid w:val="002E3299"/>
    <w:rsid w:val="002E4985"/>
    <w:rsid w:val="002E64CC"/>
    <w:rsid w:val="002F04E4"/>
    <w:rsid w:val="002F1A53"/>
    <w:rsid w:val="002F3568"/>
    <w:rsid w:val="002F7AB9"/>
    <w:rsid w:val="0030157A"/>
    <w:rsid w:val="00302995"/>
    <w:rsid w:val="00303D3D"/>
    <w:rsid w:val="00314B46"/>
    <w:rsid w:val="00315931"/>
    <w:rsid w:val="0031712B"/>
    <w:rsid w:val="0032092A"/>
    <w:rsid w:val="00321528"/>
    <w:rsid w:val="00321717"/>
    <w:rsid w:val="00321D5F"/>
    <w:rsid w:val="003238C0"/>
    <w:rsid w:val="00330870"/>
    <w:rsid w:val="00330E7E"/>
    <w:rsid w:val="00330EF0"/>
    <w:rsid w:val="00333C15"/>
    <w:rsid w:val="00342D9D"/>
    <w:rsid w:val="00342E7E"/>
    <w:rsid w:val="003440CB"/>
    <w:rsid w:val="003504A0"/>
    <w:rsid w:val="00352A1D"/>
    <w:rsid w:val="00353816"/>
    <w:rsid w:val="00353F4B"/>
    <w:rsid w:val="00356B7D"/>
    <w:rsid w:val="00357CA1"/>
    <w:rsid w:val="00361CCF"/>
    <w:rsid w:val="00364A0C"/>
    <w:rsid w:val="003738EA"/>
    <w:rsid w:val="00375491"/>
    <w:rsid w:val="00376E91"/>
    <w:rsid w:val="0038180E"/>
    <w:rsid w:val="003822A8"/>
    <w:rsid w:val="00383DCC"/>
    <w:rsid w:val="00386A4E"/>
    <w:rsid w:val="00386C51"/>
    <w:rsid w:val="00387362"/>
    <w:rsid w:val="00390C9A"/>
    <w:rsid w:val="00390FCA"/>
    <w:rsid w:val="00392494"/>
    <w:rsid w:val="00394A95"/>
    <w:rsid w:val="00396306"/>
    <w:rsid w:val="00397742"/>
    <w:rsid w:val="00397891"/>
    <w:rsid w:val="003A093A"/>
    <w:rsid w:val="003A6BB9"/>
    <w:rsid w:val="003B4151"/>
    <w:rsid w:val="003B669C"/>
    <w:rsid w:val="003B786E"/>
    <w:rsid w:val="003C6EF7"/>
    <w:rsid w:val="003D092D"/>
    <w:rsid w:val="003D0F7B"/>
    <w:rsid w:val="003D0FE9"/>
    <w:rsid w:val="003D12FB"/>
    <w:rsid w:val="003D2BCE"/>
    <w:rsid w:val="003D4037"/>
    <w:rsid w:val="003D4529"/>
    <w:rsid w:val="003D4B46"/>
    <w:rsid w:val="003D5F48"/>
    <w:rsid w:val="003E01B3"/>
    <w:rsid w:val="003E092F"/>
    <w:rsid w:val="003E3199"/>
    <w:rsid w:val="003E7DA0"/>
    <w:rsid w:val="003F050A"/>
    <w:rsid w:val="003F059B"/>
    <w:rsid w:val="003F4A9A"/>
    <w:rsid w:val="003F4CAD"/>
    <w:rsid w:val="003F50D1"/>
    <w:rsid w:val="003F5F88"/>
    <w:rsid w:val="0041273F"/>
    <w:rsid w:val="0042204E"/>
    <w:rsid w:val="00426325"/>
    <w:rsid w:val="00437A33"/>
    <w:rsid w:val="004469A3"/>
    <w:rsid w:val="0045270B"/>
    <w:rsid w:val="00454C45"/>
    <w:rsid w:val="004624BE"/>
    <w:rsid w:val="00463DED"/>
    <w:rsid w:val="00465A92"/>
    <w:rsid w:val="00465B50"/>
    <w:rsid w:val="004679CE"/>
    <w:rsid w:val="00470270"/>
    <w:rsid w:val="00471CBF"/>
    <w:rsid w:val="00472046"/>
    <w:rsid w:val="00475E73"/>
    <w:rsid w:val="00480092"/>
    <w:rsid w:val="0048136E"/>
    <w:rsid w:val="00481C76"/>
    <w:rsid w:val="00485AD1"/>
    <w:rsid w:val="00486AA5"/>
    <w:rsid w:val="004878DF"/>
    <w:rsid w:val="004932B6"/>
    <w:rsid w:val="0049395B"/>
    <w:rsid w:val="004946E0"/>
    <w:rsid w:val="00495E6D"/>
    <w:rsid w:val="004A1602"/>
    <w:rsid w:val="004A51A8"/>
    <w:rsid w:val="004B49EE"/>
    <w:rsid w:val="004B4D89"/>
    <w:rsid w:val="004B516E"/>
    <w:rsid w:val="004C0E26"/>
    <w:rsid w:val="004C343D"/>
    <w:rsid w:val="004C5277"/>
    <w:rsid w:val="004C6632"/>
    <w:rsid w:val="004C665A"/>
    <w:rsid w:val="004D2423"/>
    <w:rsid w:val="004D3884"/>
    <w:rsid w:val="004D5BBA"/>
    <w:rsid w:val="004E0748"/>
    <w:rsid w:val="004E728E"/>
    <w:rsid w:val="004F0AAB"/>
    <w:rsid w:val="004F23F6"/>
    <w:rsid w:val="004F47B7"/>
    <w:rsid w:val="004F743F"/>
    <w:rsid w:val="004F7C1B"/>
    <w:rsid w:val="00500A8F"/>
    <w:rsid w:val="005043E9"/>
    <w:rsid w:val="00505181"/>
    <w:rsid w:val="005060F9"/>
    <w:rsid w:val="005109DD"/>
    <w:rsid w:val="0051106C"/>
    <w:rsid w:val="00512BAE"/>
    <w:rsid w:val="00513DCA"/>
    <w:rsid w:val="00520C0E"/>
    <w:rsid w:val="00522EAE"/>
    <w:rsid w:val="00524D97"/>
    <w:rsid w:val="005250F2"/>
    <w:rsid w:val="00525703"/>
    <w:rsid w:val="005260BE"/>
    <w:rsid w:val="00527573"/>
    <w:rsid w:val="005326B5"/>
    <w:rsid w:val="005339BB"/>
    <w:rsid w:val="00535F08"/>
    <w:rsid w:val="00536F45"/>
    <w:rsid w:val="00537EE6"/>
    <w:rsid w:val="005447E3"/>
    <w:rsid w:val="00547E75"/>
    <w:rsid w:val="00551A1D"/>
    <w:rsid w:val="00555016"/>
    <w:rsid w:val="00555A60"/>
    <w:rsid w:val="00556212"/>
    <w:rsid w:val="005606AC"/>
    <w:rsid w:val="005631C7"/>
    <w:rsid w:val="005669D8"/>
    <w:rsid w:val="0057138A"/>
    <w:rsid w:val="00572B6E"/>
    <w:rsid w:val="00572E88"/>
    <w:rsid w:val="005747FF"/>
    <w:rsid w:val="005762B0"/>
    <w:rsid w:val="00584716"/>
    <w:rsid w:val="005849E3"/>
    <w:rsid w:val="00584E4F"/>
    <w:rsid w:val="00584E6C"/>
    <w:rsid w:val="005868F6"/>
    <w:rsid w:val="00586D6C"/>
    <w:rsid w:val="0058733F"/>
    <w:rsid w:val="00587D18"/>
    <w:rsid w:val="00593143"/>
    <w:rsid w:val="00594449"/>
    <w:rsid w:val="00596D1A"/>
    <w:rsid w:val="005A31F5"/>
    <w:rsid w:val="005A39D7"/>
    <w:rsid w:val="005A65C8"/>
    <w:rsid w:val="005B5D60"/>
    <w:rsid w:val="005B69C2"/>
    <w:rsid w:val="005C27A1"/>
    <w:rsid w:val="005C67D4"/>
    <w:rsid w:val="005C7CC0"/>
    <w:rsid w:val="005D0683"/>
    <w:rsid w:val="005D6F09"/>
    <w:rsid w:val="005E00D6"/>
    <w:rsid w:val="005E035C"/>
    <w:rsid w:val="005E1A23"/>
    <w:rsid w:val="005E525F"/>
    <w:rsid w:val="005E5A41"/>
    <w:rsid w:val="005E674A"/>
    <w:rsid w:val="005E6E17"/>
    <w:rsid w:val="005F6112"/>
    <w:rsid w:val="00602232"/>
    <w:rsid w:val="00602E62"/>
    <w:rsid w:val="00606AA2"/>
    <w:rsid w:val="00606C4F"/>
    <w:rsid w:val="006107DC"/>
    <w:rsid w:val="0061228A"/>
    <w:rsid w:val="00617A76"/>
    <w:rsid w:val="00621ED0"/>
    <w:rsid w:val="00622238"/>
    <w:rsid w:val="00624BB2"/>
    <w:rsid w:val="006316FD"/>
    <w:rsid w:val="00632329"/>
    <w:rsid w:val="006361BC"/>
    <w:rsid w:val="00636A3C"/>
    <w:rsid w:val="00637AD1"/>
    <w:rsid w:val="00642CD5"/>
    <w:rsid w:val="006452B3"/>
    <w:rsid w:val="00645792"/>
    <w:rsid w:val="0066295A"/>
    <w:rsid w:val="00663035"/>
    <w:rsid w:val="00664055"/>
    <w:rsid w:val="00666CF9"/>
    <w:rsid w:val="00667457"/>
    <w:rsid w:val="00667A61"/>
    <w:rsid w:val="00670ED6"/>
    <w:rsid w:val="00673E32"/>
    <w:rsid w:val="006740B4"/>
    <w:rsid w:val="00674734"/>
    <w:rsid w:val="0067541F"/>
    <w:rsid w:val="006858D5"/>
    <w:rsid w:val="00687DBB"/>
    <w:rsid w:val="00696B1C"/>
    <w:rsid w:val="0069732D"/>
    <w:rsid w:val="006A2B5F"/>
    <w:rsid w:val="006A32C4"/>
    <w:rsid w:val="006A72B8"/>
    <w:rsid w:val="006B576E"/>
    <w:rsid w:val="006C1F05"/>
    <w:rsid w:val="006C2070"/>
    <w:rsid w:val="006C2ACB"/>
    <w:rsid w:val="006D2A5B"/>
    <w:rsid w:val="006D5B15"/>
    <w:rsid w:val="006D5C62"/>
    <w:rsid w:val="006D642C"/>
    <w:rsid w:val="006E3A9C"/>
    <w:rsid w:val="006F038D"/>
    <w:rsid w:val="006F75B2"/>
    <w:rsid w:val="00700EA9"/>
    <w:rsid w:val="0070255A"/>
    <w:rsid w:val="00705BEF"/>
    <w:rsid w:val="00706179"/>
    <w:rsid w:val="007113DD"/>
    <w:rsid w:val="0071165F"/>
    <w:rsid w:val="0071430B"/>
    <w:rsid w:val="00720659"/>
    <w:rsid w:val="00721AC4"/>
    <w:rsid w:val="0072201D"/>
    <w:rsid w:val="00725719"/>
    <w:rsid w:val="00725BDB"/>
    <w:rsid w:val="00733292"/>
    <w:rsid w:val="0073607E"/>
    <w:rsid w:val="00736663"/>
    <w:rsid w:val="007368D2"/>
    <w:rsid w:val="007423FD"/>
    <w:rsid w:val="0074285A"/>
    <w:rsid w:val="00756E5C"/>
    <w:rsid w:val="00757990"/>
    <w:rsid w:val="00760C7A"/>
    <w:rsid w:val="007619AD"/>
    <w:rsid w:val="00762330"/>
    <w:rsid w:val="007640E0"/>
    <w:rsid w:val="007652B1"/>
    <w:rsid w:val="00770616"/>
    <w:rsid w:val="00770E19"/>
    <w:rsid w:val="00772E22"/>
    <w:rsid w:val="0077332B"/>
    <w:rsid w:val="00774257"/>
    <w:rsid w:val="00775505"/>
    <w:rsid w:val="00776AE1"/>
    <w:rsid w:val="00785C31"/>
    <w:rsid w:val="00793276"/>
    <w:rsid w:val="007A01B4"/>
    <w:rsid w:val="007A03BE"/>
    <w:rsid w:val="007A07E5"/>
    <w:rsid w:val="007A136C"/>
    <w:rsid w:val="007A385D"/>
    <w:rsid w:val="007A3E79"/>
    <w:rsid w:val="007A463F"/>
    <w:rsid w:val="007A7362"/>
    <w:rsid w:val="007B0667"/>
    <w:rsid w:val="007B339A"/>
    <w:rsid w:val="007B5A17"/>
    <w:rsid w:val="007B648A"/>
    <w:rsid w:val="007B7729"/>
    <w:rsid w:val="007C2153"/>
    <w:rsid w:val="007C66DE"/>
    <w:rsid w:val="007D0768"/>
    <w:rsid w:val="007D224F"/>
    <w:rsid w:val="007D62F3"/>
    <w:rsid w:val="007E0C8A"/>
    <w:rsid w:val="007E0E50"/>
    <w:rsid w:val="007E3816"/>
    <w:rsid w:val="007E513A"/>
    <w:rsid w:val="007F5700"/>
    <w:rsid w:val="007F79E2"/>
    <w:rsid w:val="008013CE"/>
    <w:rsid w:val="00802548"/>
    <w:rsid w:val="00802957"/>
    <w:rsid w:val="00802B47"/>
    <w:rsid w:val="008062A9"/>
    <w:rsid w:val="00814AA6"/>
    <w:rsid w:val="008153A8"/>
    <w:rsid w:val="00823B03"/>
    <w:rsid w:val="008267EE"/>
    <w:rsid w:val="0083050D"/>
    <w:rsid w:val="00832E9B"/>
    <w:rsid w:val="00833AB0"/>
    <w:rsid w:val="00834717"/>
    <w:rsid w:val="0084273E"/>
    <w:rsid w:val="008432ED"/>
    <w:rsid w:val="00843F7D"/>
    <w:rsid w:val="008450F3"/>
    <w:rsid w:val="00855260"/>
    <w:rsid w:val="00860271"/>
    <w:rsid w:val="0086227D"/>
    <w:rsid w:val="00863D28"/>
    <w:rsid w:val="00863FEE"/>
    <w:rsid w:val="008653E0"/>
    <w:rsid w:val="008730BB"/>
    <w:rsid w:val="00880B5C"/>
    <w:rsid w:val="00881B05"/>
    <w:rsid w:val="00881CA9"/>
    <w:rsid w:val="00883821"/>
    <w:rsid w:val="0088500C"/>
    <w:rsid w:val="0088679A"/>
    <w:rsid w:val="0089014A"/>
    <w:rsid w:val="008902CF"/>
    <w:rsid w:val="008966E9"/>
    <w:rsid w:val="008B188A"/>
    <w:rsid w:val="008B4A3B"/>
    <w:rsid w:val="008B56E5"/>
    <w:rsid w:val="008B6065"/>
    <w:rsid w:val="008C1F77"/>
    <w:rsid w:val="008D1223"/>
    <w:rsid w:val="008D170A"/>
    <w:rsid w:val="008D3CFE"/>
    <w:rsid w:val="008D5E6C"/>
    <w:rsid w:val="008D7F16"/>
    <w:rsid w:val="008E08E2"/>
    <w:rsid w:val="008E160B"/>
    <w:rsid w:val="008E4534"/>
    <w:rsid w:val="008E54DB"/>
    <w:rsid w:val="008E7ACE"/>
    <w:rsid w:val="008F1045"/>
    <w:rsid w:val="009018E4"/>
    <w:rsid w:val="00903BED"/>
    <w:rsid w:val="00905613"/>
    <w:rsid w:val="00905BF1"/>
    <w:rsid w:val="0090680C"/>
    <w:rsid w:val="009111B0"/>
    <w:rsid w:val="00913572"/>
    <w:rsid w:val="00915EF9"/>
    <w:rsid w:val="009171E7"/>
    <w:rsid w:val="00917662"/>
    <w:rsid w:val="00917A3B"/>
    <w:rsid w:val="0092087F"/>
    <w:rsid w:val="0092377F"/>
    <w:rsid w:val="009308D8"/>
    <w:rsid w:val="00930DF7"/>
    <w:rsid w:val="00936821"/>
    <w:rsid w:val="00936E5D"/>
    <w:rsid w:val="0094276A"/>
    <w:rsid w:val="00942C75"/>
    <w:rsid w:val="00943BF7"/>
    <w:rsid w:val="00951195"/>
    <w:rsid w:val="00952045"/>
    <w:rsid w:val="00952BA5"/>
    <w:rsid w:val="009554FB"/>
    <w:rsid w:val="00957EEC"/>
    <w:rsid w:val="00963696"/>
    <w:rsid w:val="009642E6"/>
    <w:rsid w:val="009645E2"/>
    <w:rsid w:val="00965CCC"/>
    <w:rsid w:val="00972BCD"/>
    <w:rsid w:val="0097304E"/>
    <w:rsid w:val="0097647D"/>
    <w:rsid w:val="00976B70"/>
    <w:rsid w:val="00983752"/>
    <w:rsid w:val="00983EF6"/>
    <w:rsid w:val="009927BE"/>
    <w:rsid w:val="00994EDE"/>
    <w:rsid w:val="009959F3"/>
    <w:rsid w:val="00995FFE"/>
    <w:rsid w:val="009A11C1"/>
    <w:rsid w:val="009A27F7"/>
    <w:rsid w:val="009A292D"/>
    <w:rsid w:val="009A4CAF"/>
    <w:rsid w:val="009A69B5"/>
    <w:rsid w:val="009B0D73"/>
    <w:rsid w:val="009B3167"/>
    <w:rsid w:val="009B34FA"/>
    <w:rsid w:val="009C020C"/>
    <w:rsid w:val="009C17B8"/>
    <w:rsid w:val="009C44ED"/>
    <w:rsid w:val="009C4A58"/>
    <w:rsid w:val="009C5700"/>
    <w:rsid w:val="009C5D67"/>
    <w:rsid w:val="009C5FEE"/>
    <w:rsid w:val="009C6763"/>
    <w:rsid w:val="009C698C"/>
    <w:rsid w:val="009C7A2D"/>
    <w:rsid w:val="009C7CE4"/>
    <w:rsid w:val="009D72F9"/>
    <w:rsid w:val="009E18AF"/>
    <w:rsid w:val="009E4A3B"/>
    <w:rsid w:val="009E5D88"/>
    <w:rsid w:val="009F0653"/>
    <w:rsid w:val="009F09C7"/>
    <w:rsid w:val="009F29A2"/>
    <w:rsid w:val="009F7FCB"/>
    <w:rsid w:val="00A00B17"/>
    <w:rsid w:val="00A01568"/>
    <w:rsid w:val="00A03D43"/>
    <w:rsid w:val="00A057AC"/>
    <w:rsid w:val="00A1042E"/>
    <w:rsid w:val="00A16D24"/>
    <w:rsid w:val="00A16E97"/>
    <w:rsid w:val="00A1794D"/>
    <w:rsid w:val="00A207E1"/>
    <w:rsid w:val="00A220C6"/>
    <w:rsid w:val="00A2358C"/>
    <w:rsid w:val="00A2663A"/>
    <w:rsid w:val="00A27839"/>
    <w:rsid w:val="00A31C85"/>
    <w:rsid w:val="00A32C2E"/>
    <w:rsid w:val="00A33A9E"/>
    <w:rsid w:val="00A44B61"/>
    <w:rsid w:val="00A45DC2"/>
    <w:rsid w:val="00A5260B"/>
    <w:rsid w:val="00A61F62"/>
    <w:rsid w:val="00A623DF"/>
    <w:rsid w:val="00A669CF"/>
    <w:rsid w:val="00A67B5E"/>
    <w:rsid w:val="00A72E16"/>
    <w:rsid w:val="00A730D0"/>
    <w:rsid w:val="00A76003"/>
    <w:rsid w:val="00A76D78"/>
    <w:rsid w:val="00A77ACF"/>
    <w:rsid w:val="00A83140"/>
    <w:rsid w:val="00A843DA"/>
    <w:rsid w:val="00A84830"/>
    <w:rsid w:val="00A96197"/>
    <w:rsid w:val="00AA2334"/>
    <w:rsid w:val="00AA4DC4"/>
    <w:rsid w:val="00AB05C6"/>
    <w:rsid w:val="00AB175E"/>
    <w:rsid w:val="00AB3244"/>
    <w:rsid w:val="00AB66D7"/>
    <w:rsid w:val="00AB694F"/>
    <w:rsid w:val="00AC32C6"/>
    <w:rsid w:val="00AD7BA1"/>
    <w:rsid w:val="00AE224E"/>
    <w:rsid w:val="00AF1933"/>
    <w:rsid w:val="00AF50E3"/>
    <w:rsid w:val="00AF5247"/>
    <w:rsid w:val="00AF6D2A"/>
    <w:rsid w:val="00AF78C6"/>
    <w:rsid w:val="00AF7CB4"/>
    <w:rsid w:val="00B00961"/>
    <w:rsid w:val="00B01ADE"/>
    <w:rsid w:val="00B06BA6"/>
    <w:rsid w:val="00B12237"/>
    <w:rsid w:val="00B12F3C"/>
    <w:rsid w:val="00B133E0"/>
    <w:rsid w:val="00B22EB0"/>
    <w:rsid w:val="00B24FF7"/>
    <w:rsid w:val="00B2543C"/>
    <w:rsid w:val="00B26192"/>
    <w:rsid w:val="00B262CD"/>
    <w:rsid w:val="00B316D1"/>
    <w:rsid w:val="00B33C5E"/>
    <w:rsid w:val="00B40A66"/>
    <w:rsid w:val="00B41090"/>
    <w:rsid w:val="00B50CF4"/>
    <w:rsid w:val="00B57B39"/>
    <w:rsid w:val="00B60E9C"/>
    <w:rsid w:val="00B6632A"/>
    <w:rsid w:val="00B67C18"/>
    <w:rsid w:val="00B74F9C"/>
    <w:rsid w:val="00B769E3"/>
    <w:rsid w:val="00B801E0"/>
    <w:rsid w:val="00B80489"/>
    <w:rsid w:val="00B807FD"/>
    <w:rsid w:val="00B83422"/>
    <w:rsid w:val="00B841C1"/>
    <w:rsid w:val="00B8765A"/>
    <w:rsid w:val="00B87D41"/>
    <w:rsid w:val="00B955B3"/>
    <w:rsid w:val="00BA15F6"/>
    <w:rsid w:val="00BA63ED"/>
    <w:rsid w:val="00BA7431"/>
    <w:rsid w:val="00BB0CAA"/>
    <w:rsid w:val="00BB11A8"/>
    <w:rsid w:val="00BB2026"/>
    <w:rsid w:val="00BB3784"/>
    <w:rsid w:val="00BC1BD9"/>
    <w:rsid w:val="00BC3B43"/>
    <w:rsid w:val="00BC52DF"/>
    <w:rsid w:val="00BC5535"/>
    <w:rsid w:val="00BD0BB7"/>
    <w:rsid w:val="00BD1289"/>
    <w:rsid w:val="00BD6A1A"/>
    <w:rsid w:val="00BE02A7"/>
    <w:rsid w:val="00BE2788"/>
    <w:rsid w:val="00BE67A2"/>
    <w:rsid w:val="00BE6F4C"/>
    <w:rsid w:val="00BE7E70"/>
    <w:rsid w:val="00BF460C"/>
    <w:rsid w:val="00BF5F9C"/>
    <w:rsid w:val="00C02F99"/>
    <w:rsid w:val="00C03770"/>
    <w:rsid w:val="00C03804"/>
    <w:rsid w:val="00C05D8E"/>
    <w:rsid w:val="00C06B20"/>
    <w:rsid w:val="00C06CBE"/>
    <w:rsid w:val="00C123C3"/>
    <w:rsid w:val="00C126DF"/>
    <w:rsid w:val="00C15DBB"/>
    <w:rsid w:val="00C2021F"/>
    <w:rsid w:val="00C31E3B"/>
    <w:rsid w:val="00C369C9"/>
    <w:rsid w:val="00C444EA"/>
    <w:rsid w:val="00C50DF8"/>
    <w:rsid w:val="00C5114A"/>
    <w:rsid w:val="00C55BB5"/>
    <w:rsid w:val="00C6019E"/>
    <w:rsid w:val="00C64953"/>
    <w:rsid w:val="00C65B28"/>
    <w:rsid w:val="00C745E3"/>
    <w:rsid w:val="00C75C2E"/>
    <w:rsid w:val="00C766EF"/>
    <w:rsid w:val="00C773FC"/>
    <w:rsid w:val="00C807AA"/>
    <w:rsid w:val="00C80EE6"/>
    <w:rsid w:val="00C817A7"/>
    <w:rsid w:val="00C861B2"/>
    <w:rsid w:val="00C86975"/>
    <w:rsid w:val="00C92958"/>
    <w:rsid w:val="00CA2A8B"/>
    <w:rsid w:val="00CA65E9"/>
    <w:rsid w:val="00CB4339"/>
    <w:rsid w:val="00CB49F9"/>
    <w:rsid w:val="00CB6A55"/>
    <w:rsid w:val="00CC06D4"/>
    <w:rsid w:val="00CC06FA"/>
    <w:rsid w:val="00CC1890"/>
    <w:rsid w:val="00CC33CC"/>
    <w:rsid w:val="00CC480B"/>
    <w:rsid w:val="00CC72C5"/>
    <w:rsid w:val="00CC7310"/>
    <w:rsid w:val="00CD332E"/>
    <w:rsid w:val="00CD41C2"/>
    <w:rsid w:val="00CD521B"/>
    <w:rsid w:val="00CE06FC"/>
    <w:rsid w:val="00CE4335"/>
    <w:rsid w:val="00CE665F"/>
    <w:rsid w:val="00CF197E"/>
    <w:rsid w:val="00CF5040"/>
    <w:rsid w:val="00D03331"/>
    <w:rsid w:val="00D073EA"/>
    <w:rsid w:val="00D07CF0"/>
    <w:rsid w:val="00D12776"/>
    <w:rsid w:val="00D12D35"/>
    <w:rsid w:val="00D2092D"/>
    <w:rsid w:val="00D31AFE"/>
    <w:rsid w:val="00D332D6"/>
    <w:rsid w:val="00D346FC"/>
    <w:rsid w:val="00D35444"/>
    <w:rsid w:val="00D3691D"/>
    <w:rsid w:val="00D371C4"/>
    <w:rsid w:val="00D41ADE"/>
    <w:rsid w:val="00D471D1"/>
    <w:rsid w:val="00D50E81"/>
    <w:rsid w:val="00D56A55"/>
    <w:rsid w:val="00D60EC2"/>
    <w:rsid w:val="00D634D8"/>
    <w:rsid w:val="00D63C2D"/>
    <w:rsid w:val="00D651FF"/>
    <w:rsid w:val="00D65A32"/>
    <w:rsid w:val="00D6747D"/>
    <w:rsid w:val="00D71DEB"/>
    <w:rsid w:val="00D73882"/>
    <w:rsid w:val="00D80609"/>
    <w:rsid w:val="00D82BB6"/>
    <w:rsid w:val="00D96CBF"/>
    <w:rsid w:val="00DA100A"/>
    <w:rsid w:val="00DA2084"/>
    <w:rsid w:val="00DA25AD"/>
    <w:rsid w:val="00DA4F61"/>
    <w:rsid w:val="00DA73E5"/>
    <w:rsid w:val="00DB0090"/>
    <w:rsid w:val="00DB1679"/>
    <w:rsid w:val="00DB5927"/>
    <w:rsid w:val="00DC2F1C"/>
    <w:rsid w:val="00DC2F84"/>
    <w:rsid w:val="00DC44EE"/>
    <w:rsid w:val="00DC4BA2"/>
    <w:rsid w:val="00DD4C8D"/>
    <w:rsid w:val="00DD7FB4"/>
    <w:rsid w:val="00DE4291"/>
    <w:rsid w:val="00DE477C"/>
    <w:rsid w:val="00DE7CB6"/>
    <w:rsid w:val="00DF1C7E"/>
    <w:rsid w:val="00DF269B"/>
    <w:rsid w:val="00DF4AB0"/>
    <w:rsid w:val="00DF66EE"/>
    <w:rsid w:val="00DF6776"/>
    <w:rsid w:val="00DF6B22"/>
    <w:rsid w:val="00E00245"/>
    <w:rsid w:val="00E00371"/>
    <w:rsid w:val="00E07A31"/>
    <w:rsid w:val="00E166BE"/>
    <w:rsid w:val="00E17346"/>
    <w:rsid w:val="00E21BE2"/>
    <w:rsid w:val="00E22994"/>
    <w:rsid w:val="00E23047"/>
    <w:rsid w:val="00E23270"/>
    <w:rsid w:val="00E24EE3"/>
    <w:rsid w:val="00E309FD"/>
    <w:rsid w:val="00E31E9E"/>
    <w:rsid w:val="00E403D4"/>
    <w:rsid w:val="00E40561"/>
    <w:rsid w:val="00E414F9"/>
    <w:rsid w:val="00E50150"/>
    <w:rsid w:val="00E5049F"/>
    <w:rsid w:val="00E504D8"/>
    <w:rsid w:val="00E61308"/>
    <w:rsid w:val="00E61E70"/>
    <w:rsid w:val="00E64653"/>
    <w:rsid w:val="00E64D3E"/>
    <w:rsid w:val="00E67E38"/>
    <w:rsid w:val="00E700A5"/>
    <w:rsid w:val="00E76995"/>
    <w:rsid w:val="00E80E43"/>
    <w:rsid w:val="00E81F84"/>
    <w:rsid w:val="00E8311C"/>
    <w:rsid w:val="00E879A7"/>
    <w:rsid w:val="00E87A04"/>
    <w:rsid w:val="00E922B4"/>
    <w:rsid w:val="00E94534"/>
    <w:rsid w:val="00E97970"/>
    <w:rsid w:val="00EA4003"/>
    <w:rsid w:val="00EB0151"/>
    <w:rsid w:val="00EB2B49"/>
    <w:rsid w:val="00EB5B3E"/>
    <w:rsid w:val="00EB7ED2"/>
    <w:rsid w:val="00EC43C8"/>
    <w:rsid w:val="00ED1806"/>
    <w:rsid w:val="00ED205C"/>
    <w:rsid w:val="00ED36BD"/>
    <w:rsid w:val="00ED3F02"/>
    <w:rsid w:val="00ED457C"/>
    <w:rsid w:val="00EE0709"/>
    <w:rsid w:val="00EE0B92"/>
    <w:rsid w:val="00EE0F0E"/>
    <w:rsid w:val="00EE2860"/>
    <w:rsid w:val="00EE68D2"/>
    <w:rsid w:val="00EF14B7"/>
    <w:rsid w:val="00EF44AD"/>
    <w:rsid w:val="00F014F8"/>
    <w:rsid w:val="00F13937"/>
    <w:rsid w:val="00F17267"/>
    <w:rsid w:val="00F22886"/>
    <w:rsid w:val="00F27587"/>
    <w:rsid w:val="00F307F9"/>
    <w:rsid w:val="00F3131F"/>
    <w:rsid w:val="00F32538"/>
    <w:rsid w:val="00F32FBC"/>
    <w:rsid w:val="00F34A00"/>
    <w:rsid w:val="00F34D93"/>
    <w:rsid w:val="00F35515"/>
    <w:rsid w:val="00F4389F"/>
    <w:rsid w:val="00F62AEB"/>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79AC"/>
    <w:rsid w:val="00FA38C3"/>
    <w:rsid w:val="00FA6353"/>
    <w:rsid w:val="00FB32DE"/>
    <w:rsid w:val="00FB3ADA"/>
    <w:rsid w:val="00FB7A50"/>
    <w:rsid w:val="00FC0DF5"/>
    <w:rsid w:val="00FC44B5"/>
    <w:rsid w:val="00FC6127"/>
    <w:rsid w:val="00FC7A4D"/>
    <w:rsid w:val="00FD08A0"/>
    <w:rsid w:val="00FD1F63"/>
    <w:rsid w:val="00FD2E42"/>
    <w:rsid w:val="00FD4AA6"/>
    <w:rsid w:val="00FE2B9E"/>
    <w:rsid w:val="00FE6123"/>
    <w:rsid w:val="00FE6555"/>
    <w:rsid w:val="00FE6E03"/>
    <w:rsid w:val="00FF51E1"/>
    <w:rsid w:val="00FF5862"/>
    <w:rsid w:val="6CB27D2C"/>
    <w:rsid w:val="E976F3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Unresolved Mention"/>
    <w:basedOn w:val="12"/>
    <w:qFormat/>
    <w:uiPriority w:val="0"/>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ED92A6E4-1D74-4CBE-8912-D697F10924BE}">
  <ds:schemaRefs/>
</ds:datastoreItem>
</file>

<file path=docProps/app.xml><?xml version="1.0" encoding="utf-8"?>
<Properties xmlns="http://schemas.openxmlformats.org/officeDocument/2006/extended-properties" xmlns:vt="http://schemas.openxmlformats.org/officeDocument/2006/docPropsVTypes">
  <Company>Microsoft</Company>
  <Pages>6</Pages>
  <Words>413</Words>
  <Characters>2355</Characters>
  <Lines>19</Lines>
  <Paragraphs>5</Paragraphs>
  <TotalTime>0</TotalTime>
  <ScaleCrop>false</ScaleCrop>
  <LinksUpToDate>false</LinksUpToDate>
  <CharactersWithSpaces>2763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2019-06-19T14:53:00Z</dcterms:created>
  <dc:creator>全美国际教育协会</dc:creator>
  <cp:lastModifiedBy>不想长大的粽子</cp:lastModifiedBy>
  <cp:lastPrinted>2011-12-16T16:54:00Z</cp:lastPrinted>
  <dcterms:modified xsi:type="dcterms:W3CDTF">2023-09-04T02:25:58Z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8B9514B1CD58411C95600605119B7125_12</vt:lpwstr>
  </property>
</Properties>
</file>