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 xml:space="preserve">加拿大麦吉尔大学 </w:t>
      </w:r>
    </w:p>
    <w:p>
      <w:pPr>
        <w:widowControl/>
        <w:spacing w:line="360" w:lineRule="auto"/>
        <w:jc w:val="center"/>
        <w:rPr>
          <w:rFonts w:asciiTheme="minorHAnsi" w:hAnsiTheme="minorHAnsi" w:eastAsiaTheme="majorEastAsia" w:cstheme="minorHAnsi"/>
          <w:b/>
          <w:kern w:val="0"/>
          <w:sz w:val="32"/>
          <w:szCs w:val="32"/>
        </w:rPr>
      </w:pPr>
      <w:r>
        <w:rPr>
          <w:rFonts w:hint="eastAsia" w:asciiTheme="minorHAnsi" w:hAnsiTheme="minorHAnsi" w:eastAsiaTheme="majorEastAsia" w:cstheme="minorHAnsi"/>
          <w:b/>
          <w:kern w:val="0"/>
          <w:sz w:val="32"/>
          <w:szCs w:val="32"/>
        </w:rPr>
        <w:t>商业数据分析项目</w:t>
      </w:r>
    </w:p>
    <w:p>
      <w:pPr>
        <w:widowControl/>
        <w:spacing w:line="360" w:lineRule="auto"/>
        <w:jc w:val="center"/>
        <w:rPr>
          <w:rFonts w:asciiTheme="minorHAnsi" w:hAnsiTheme="minorHAnsi" w:eastAsiaTheme="majorEastAsia" w:cstheme="minorHAnsi"/>
          <w:kern w:val="0"/>
          <w:sz w:val="28"/>
          <w:szCs w:val="28"/>
        </w:rPr>
      </w:pPr>
      <w:r>
        <w:rPr>
          <w:rFonts w:asciiTheme="minorHAnsi" w:hAnsiTheme="minorHAnsi" w:eastAsiaTheme="majorEastAsia" w:cstheme="minorHAnsi"/>
          <w:kern w:val="0"/>
          <w:sz w:val="28"/>
          <w:szCs w:val="28"/>
        </w:rPr>
        <w:t>McGill University</w:t>
      </w:r>
    </w:p>
    <w:p>
      <w:pPr>
        <w:widowControl/>
        <w:spacing w:line="360" w:lineRule="auto"/>
        <w:jc w:val="center"/>
        <w:rPr>
          <w:rFonts w:asciiTheme="minorHAnsi" w:hAnsiTheme="minorHAnsi" w:eastAsiaTheme="majorEastAsia" w:cstheme="minorHAnsi"/>
          <w:kern w:val="0"/>
          <w:sz w:val="28"/>
          <w:szCs w:val="28"/>
        </w:rPr>
      </w:pPr>
      <w:r>
        <w:rPr>
          <w:rFonts w:asciiTheme="minorHAnsi" w:hAnsiTheme="minorHAnsi" w:eastAsiaTheme="majorEastAsia" w:cstheme="minorHAnsi"/>
          <w:kern w:val="0"/>
          <w:sz w:val="28"/>
          <w:szCs w:val="28"/>
        </w:rPr>
        <w:t>Business Analytics Program</w:t>
      </w:r>
    </w:p>
    <w:p>
      <w:pPr>
        <w:widowControl/>
        <w:spacing w:line="360" w:lineRule="auto"/>
        <w:jc w:val="center"/>
        <w:rPr>
          <w:rFonts w:cs="Calibri" w:asciiTheme="minorHAnsi" w:hAnsiTheme="minorHAnsi"/>
          <w:b/>
          <w:kern w:val="0"/>
          <w:szCs w:val="21"/>
        </w:rPr>
      </w:pPr>
    </w:p>
    <w:p>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pPr>
        <w:widowControl/>
        <w:spacing w:line="360" w:lineRule="auto"/>
        <w:ind w:firstLine="42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商业数据分析项目是加拿大顶级学府麦吉尔大学开设的一门专业课程，课程将带领学生探索数据管理的世界，以及如何使用两种强大的工具帮助提高业务绩效、创新潜力和客户满意度：即收集、分析和可视化数据的“数据分析”，以及在不断变化的业务环境中获得竞争优势和降低风险的“敏捷项目管理”。</w:t>
      </w:r>
    </w:p>
    <w:p>
      <w:pPr>
        <w:widowControl/>
        <w:spacing w:line="360" w:lineRule="auto"/>
        <w:ind w:firstLine="42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通过数据分析解读以及项目管理两个层面，全方位提升学生对于商业分析的理解与把握；</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【饱满实用的课程设置】</w:t>
      </w:r>
      <w:r>
        <w:rPr>
          <w:rFonts w:hint="eastAsia" w:asciiTheme="minorHAnsi" w:hAnsiTheme="minorHAnsi" w:eastAsiaTheme="majorEastAsia" w:cstheme="minorHAnsi"/>
          <w:kern w:val="0"/>
          <w:szCs w:val="21"/>
        </w:rPr>
        <w:t>6</w:t>
      </w:r>
      <w:r>
        <w:rPr>
          <w:rFonts w:asciiTheme="minorHAnsi" w:hAnsiTheme="minorHAnsi" w:eastAsiaTheme="majorEastAsia" w:cstheme="minorHAnsi"/>
          <w:kern w:val="0"/>
          <w:szCs w:val="21"/>
        </w:rPr>
        <w:t>0</w:t>
      </w:r>
      <w:r>
        <w:rPr>
          <w:rFonts w:hint="eastAsia" w:asciiTheme="minorHAnsi" w:hAnsiTheme="minorHAnsi" w:eastAsiaTheme="majorEastAsia" w:cstheme="minorHAnsi"/>
          <w:kern w:val="0"/>
          <w:szCs w:val="21"/>
        </w:rPr>
        <w:t>小时课程足质足量，有效强化学生商业数据分析实用技巧；</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rPr>
        <w:t>无需托福雅思成绩，四级500/六级470即可申请；</w:t>
      </w:r>
    </w:p>
    <w:p>
      <w:pPr>
        <w:pStyle w:val="21"/>
        <w:widowControl/>
        <w:numPr>
          <w:ilvl w:val="0"/>
          <w:numId w:val="1"/>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学生可获得麦吉尔正式的课程成绩单与参课证明，享受学校图书馆等资源，并可深度体验蒙特利尔地区的社会与文化</w:t>
      </w:r>
      <w:bookmarkEnd w:id="0"/>
      <w:r>
        <w:rPr>
          <w:rFonts w:asciiTheme="minorHAnsi" w:hAnsiTheme="minorHAnsi" w:eastAsiaTheme="majorEastAsia" w:cstheme="minorHAnsi"/>
          <w:kern w:val="0"/>
          <w:szCs w:val="21"/>
        </w:rPr>
        <w:br w:type="textWrapping"/>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三、麦吉尔</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widowControl/>
        <w:spacing w:line="360" w:lineRule="auto"/>
        <w:ind w:left="420"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麦吉尔大学</w:t>
      </w:r>
      <w:r>
        <w:rPr>
          <w:rFonts w:cs="Arial" w:asciiTheme="minorHAnsi" w:hAnsiTheme="minorHAnsi"/>
          <w:color w:val="333333"/>
          <w:kern w:val="0"/>
          <w:szCs w:val="21"/>
        </w:rPr>
        <w:t>创建于1</w:t>
      </w:r>
      <w:r>
        <w:rPr>
          <w:rFonts w:hint="eastAsia" w:cs="Arial" w:asciiTheme="minorHAnsi" w:hAnsiTheme="minorHAnsi"/>
          <w:color w:val="333333"/>
          <w:kern w:val="0"/>
          <w:szCs w:val="21"/>
        </w:rPr>
        <w:t>821</w:t>
      </w:r>
      <w:r>
        <w:rPr>
          <w:rFonts w:cs="Arial" w:asciiTheme="minorHAnsi" w:hAnsiTheme="minorHAnsi"/>
          <w:color w:val="333333"/>
          <w:kern w:val="0"/>
          <w:szCs w:val="21"/>
        </w:rPr>
        <w:t>年，是加拿大的一所顶尖学府，</w:t>
      </w:r>
      <w:r>
        <w:rPr>
          <w:rFonts w:hint="eastAsia" w:cs="Arial" w:asciiTheme="minorHAnsi" w:hAnsiTheme="minorHAnsi"/>
          <w:color w:val="333333"/>
          <w:kern w:val="0"/>
          <w:szCs w:val="21"/>
        </w:rPr>
        <w:t>也是世界著名的公立研究型大学，素有“北方哈佛”的美誉。</w:t>
      </w:r>
      <w:r>
        <w:rPr>
          <w:rFonts w:hint="eastAsia" w:asciiTheme="minorHAnsi" w:hAnsiTheme="minorHAnsi"/>
        </w:rPr>
        <w:t>202</w:t>
      </w:r>
      <w:r>
        <w:rPr>
          <w:rFonts w:asciiTheme="minorHAnsi" w:hAnsiTheme="minorHAnsi"/>
        </w:rPr>
        <w:t>4</w:t>
      </w:r>
      <w:r>
        <w:rPr>
          <w:rFonts w:hint="eastAsia" w:asciiTheme="minorHAnsi" w:hAnsiTheme="minorHAnsi"/>
        </w:rPr>
        <w:t>年</w:t>
      </w:r>
      <w:r>
        <w:rPr>
          <w:rFonts w:asciiTheme="minorHAnsi" w:hAnsiTheme="minorHAnsi"/>
        </w:rPr>
        <w:t>QS</w:t>
      </w:r>
      <w:r>
        <w:rPr>
          <w:rFonts w:hint="eastAsia" w:asciiTheme="minorHAnsi" w:hAnsiTheme="minorHAnsi"/>
        </w:rPr>
        <w:t>世界大学综合排名第</w:t>
      </w:r>
      <w:r>
        <w:rPr>
          <w:rFonts w:asciiTheme="minorHAnsi" w:hAnsiTheme="minorHAnsi"/>
        </w:rPr>
        <w:t>30</w:t>
      </w:r>
      <w:r>
        <w:rPr>
          <w:rFonts w:hint="eastAsia" w:asciiTheme="minorHAnsi" w:hAnsiTheme="minorHAnsi"/>
        </w:rPr>
        <w:t>；202</w:t>
      </w:r>
      <w:r>
        <w:rPr>
          <w:rFonts w:asciiTheme="minorHAnsi" w:hAnsiTheme="minorHAnsi"/>
        </w:rPr>
        <w:t>3</w:t>
      </w:r>
      <w:r>
        <w:rPr>
          <w:rFonts w:hint="eastAsia" w:asciiTheme="minorHAnsi" w:hAnsiTheme="minorHAnsi"/>
        </w:rPr>
        <w:t>年美国新闻与世界报道全球大学综合排名第</w:t>
      </w:r>
      <w:r>
        <w:rPr>
          <w:rFonts w:asciiTheme="minorHAnsi" w:hAnsiTheme="minorHAnsi"/>
        </w:rPr>
        <w:t>54</w:t>
      </w:r>
      <w:r>
        <w:rPr>
          <w:rFonts w:hint="eastAsia" w:asciiTheme="minorHAnsi" w:hAnsiTheme="minorHAnsi"/>
        </w:rPr>
        <w:t>；</w:t>
      </w:r>
      <w:r>
        <w:rPr>
          <w:rFonts w:asciiTheme="minorHAnsi" w:hAnsiTheme="minorHAnsi"/>
        </w:rPr>
        <w:t>加拿大</w:t>
      </w:r>
      <w:r>
        <w:rPr>
          <w:rFonts w:hint="eastAsia" w:asciiTheme="minorHAnsi" w:hAnsiTheme="minorHAnsi"/>
        </w:rPr>
        <w:t>Maclean杂志全加医博类大学常年排名榜首；</w:t>
      </w:r>
    </w:p>
    <w:p>
      <w:pPr>
        <w:widowControl/>
        <w:spacing w:line="360" w:lineRule="auto"/>
        <w:ind w:left="420" w:firstLine="420" w:firstLineChars="200"/>
        <w:jc w:val="left"/>
        <w:rPr>
          <w:rFonts w:asciiTheme="minorHAnsi" w:hAnsiTheme="minorHAnsi" w:eastAsiaTheme="majorEastAsia" w:cstheme="minorHAnsi"/>
          <w:szCs w:val="21"/>
        </w:rPr>
      </w:pPr>
      <w:r>
        <w:rPr>
          <w:rFonts w:hint="eastAsia" w:asciiTheme="minorHAnsi" w:hAnsiTheme="minorHAnsi"/>
        </w:rPr>
        <w:t>学校下设11个院系，</w:t>
      </w:r>
      <w:r>
        <w:rPr>
          <w:rFonts w:asciiTheme="minorHAnsi" w:hAnsiTheme="minorHAnsi"/>
        </w:rPr>
        <w:t>学生超过</w:t>
      </w:r>
      <w:r>
        <w:rPr>
          <w:rFonts w:hint="eastAsia" w:asciiTheme="minorHAnsi" w:hAnsiTheme="minorHAnsi"/>
        </w:rPr>
        <w:t>4万人，在医学、文学、法学、工程、科学和管理学</w:t>
      </w:r>
      <w:r>
        <w:rPr>
          <w:rFonts w:asciiTheme="minorHAnsi" w:hAnsiTheme="minorHAnsi"/>
        </w:rPr>
        <w:t>等领域均居于世界领先水平</w:t>
      </w:r>
      <w:r>
        <w:rPr>
          <w:rFonts w:hint="eastAsia" w:asciiTheme="minorHAnsi" w:hAnsiTheme="minorHAnsi"/>
        </w:rPr>
        <w:t>，</w:t>
      </w:r>
      <w:r>
        <w:rPr>
          <w:rFonts w:asciiTheme="minorHAnsi" w:hAnsiTheme="minorHAnsi"/>
        </w:rPr>
        <w:t>历史上曾培养</w:t>
      </w:r>
      <w:r>
        <w:rPr>
          <w:rFonts w:hint="eastAsia" w:asciiTheme="minorHAnsi" w:hAnsiTheme="minorHAnsi"/>
        </w:rPr>
        <w:t>12位诺贝尔奖得主</w:t>
      </w:r>
      <w:r>
        <w:rPr>
          <w:rFonts w:hint="eastAsia" w:cs="Arial" w:asciiTheme="minorHAnsi" w:hAnsiTheme="minorHAnsi"/>
          <w:color w:val="333333"/>
          <w:kern w:val="0"/>
          <w:szCs w:val="21"/>
        </w:rPr>
        <w:t>。</w:t>
      </w:r>
    </w:p>
    <w:p>
      <w:pPr>
        <w:widowControl/>
        <w:spacing w:line="360" w:lineRule="auto"/>
        <w:ind w:left="420" w:firstLine="420" w:firstLineChars="200"/>
        <w:jc w:val="left"/>
        <w:rPr>
          <w:rFonts w:asciiTheme="minorHAnsi" w:hAnsiTheme="minorHAnsi" w:eastAsiaTheme="majorEastAsia" w:cstheme="minorHAnsi"/>
          <w:szCs w:val="21"/>
        </w:rPr>
      </w:pPr>
      <w:r>
        <w:rPr>
          <w:rFonts w:hint="eastAsia" w:asciiTheme="minorHAnsi" w:hAnsiTheme="minorHAnsi"/>
        </w:rPr>
        <w:t>学校所处的蒙特利尔市位于加拿大东南部，是</w:t>
      </w:r>
      <w:r>
        <w:rPr>
          <w:rFonts w:hint="eastAsia" w:asciiTheme="minorHAnsi" w:hAnsiTheme="minorHAnsi"/>
          <w:bCs/>
        </w:rPr>
        <w:t>加拿大第二大城市</w:t>
      </w:r>
      <w:r>
        <w:rPr>
          <w:rFonts w:hint="eastAsia" w:asciiTheme="minorHAnsi" w:hAnsiTheme="minorHAnsi"/>
        </w:rPr>
        <w:t>及魁北克省最大城市，是世界上最宜居的城市之一，曾被QS评为“世界最佳留学城市”。</w:t>
      </w:r>
    </w:p>
    <w:p>
      <w:pPr>
        <w:widowControl/>
        <w:spacing w:line="360" w:lineRule="auto"/>
        <w:ind w:left="420"/>
        <w:jc w:val="left"/>
        <w:rPr>
          <w:rFonts w:asciiTheme="minorHAnsi" w:hAnsiTheme="minorHAnsi" w:eastAsiaTheme="majorEastAsia" w:cstheme="minorHAnsi"/>
          <w:b/>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szCs w:val="21"/>
        </w:rPr>
        <w:t>2024年1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22</w:t>
      </w:r>
      <w:r>
        <w:rPr>
          <w:rFonts w:hint="eastAsia" w:asciiTheme="minorHAnsi" w:hAnsiTheme="minorHAnsi" w:eastAsiaTheme="majorEastAsia" w:cstheme="minorHAnsi"/>
          <w:b/>
          <w:szCs w:val="21"/>
        </w:rPr>
        <w:t xml:space="preserve">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16</w:t>
      </w:r>
      <w:r>
        <w:rPr>
          <w:rFonts w:hint="eastAsia" w:asciiTheme="minorHAnsi" w:hAnsiTheme="minorHAnsi" w:eastAsiaTheme="majorEastAsia" w:cstheme="minorHAnsi"/>
          <w:b/>
          <w:szCs w:val="21"/>
        </w:rPr>
        <w:t>日</w:t>
      </w:r>
      <w:r>
        <w:rPr>
          <w:rFonts w:hint="eastAsia" w:asciiTheme="minorHAnsi" w:hAnsiTheme="minorHAnsi" w:eastAsiaTheme="majorEastAsia" w:cstheme="minorHAnsi"/>
          <w:szCs w:val="21"/>
        </w:rPr>
        <w:t>（4周，预估日期，待确认）</w:t>
      </w:r>
    </w:p>
    <w:p>
      <w:pPr>
        <w:spacing w:line="360" w:lineRule="auto"/>
        <w:rPr>
          <w:rFonts w:asciiTheme="minorHAnsi" w:hAnsiTheme="minorHAnsi" w:eastAsiaTheme="majorEastAsia" w:cstheme="minorHAnsi"/>
          <w:szCs w:val="21"/>
        </w:rPr>
      </w:pPr>
    </w:p>
    <w:p>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pPr>
        <w:spacing w:line="360" w:lineRule="auto"/>
        <w:ind w:left="420" w:leftChars="200"/>
        <w:rPr>
          <w:rFonts w:asciiTheme="minorHAnsi" w:hAnsiTheme="minorHAnsi" w:eastAsiaTheme="majorEastAsia" w:cstheme="minorHAnsi"/>
          <w:szCs w:val="21"/>
        </w:rPr>
      </w:pPr>
      <w:r>
        <w:rPr>
          <w:rFonts w:hint="eastAsia" w:cs="Calibri" w:asciiTheme="minorHAnsi" w:hAnsiTheme="minorHAnsi"/>
          <w:szCs w:val="21"/>
        </w:rPr>
        <w:t>项目为期四周，</w:t>
      </w:r>
      <w:r>
        <w:rPr>
          <w:rFonts w:hint="eastAsia" w:asciiTheme="minorHAnsi" w:hAnsiTheme="minorHAnsi" w:eastAsiaTheme="majorEastAsia" w:cstheme="minorHAnsi"/>
          <w:szCs w:val="21"/>
        </w:rPr>
        <w:t>包含两门专业课，每门课3</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小时授课时间，共6</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小时。项目每周安排</w:t>
      </w:r>
    </w:p>
    <w:p>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1</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小时授课，授课时间预计为当地时间每周一至周五上午9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w:t>
      </w:r>
    </w:p>
    <w:p>
      <w:pPr>
        <w:spacing w:line="360" w:lineRule="auto"/>
        <w:ind w:left="420" w:hanging="420" w:hangingChars="200"/>
        <w:rPr>
          <w:rFonts w:asciiTheme="minorHAnsi" w:hAnsiTheme="minorHAnsi" w:eastAsiaTheme="majorEastAsia" w:cstheme="minorHAnsi"/>
          <w:szCs w:val="21"/>
        </w:rPr>
      </w:pPr>
      <w:r>
        <w:rPr>
          <w:rFonts w:hint="eastAsia" w:asciiTheme="minorHAnsi" w:hAnsiTheme="minorHAnsi" w:eastAsiaTheme="majorEastAsia" w:cstheme="minorHAnsi"/>
          <w:szCs w:val="21"/>
        </w:rPr>
        <w:t>际安排的课表为准）。</w:t>
      </w:r>
    </w:p>
    <w:p>
      <w:pPr>
        <w:widowControl/>
        <w:spacing w:line="360" w:lineRule="auto"/>
        <w:ind w:firstLine="420" w:firstLineChars="200"/>
        <w:jc w:val="left"/>
        <w:rPr>
          <w:rFonts w:cs="Calibri" w:asciiTheme="minorHAnsi" w:hAnsiTheme="minorHAnsi"/>
          <w:szCs w:val="21"/>
        </w:rPr>
      </w:pPr>
      <w:r>
        <w:rPr>
          <w:rFonts w:hint="eastAsia" w:cs="Calibri" w:asciiTheme="minorHAnsi" w:hAnsiTheme="minorHAnsi"/>
          <w:szCs w:val="21"/>
        </w:rPr>
        <w:t>本项目共包含两门课程：</w:t>
      </w:r>
    </w:p>
    <w:p>
      <w:pPr>
        <w:spacing w:line="360" w:lineRule="auto"/>
        <w:ind w:firstLine="422" w:firstLineChars="200"/>
      </w:pPr>
      <w:r>
        <w:rPr>
          <w:rFonts w:hint="eastAsia"/>
          <w:b/>
          <w:bCs/>
        </w:rPr>
        <w:t>课程一：商业分析与数据模型</w:t>
      </w:r>
      <w:r>
        <w:rPr>
          <w:rFonts w:hint="eastAsia"/>
        </w:rPr>
        <w:t>（30小时）</w:t>
      </w:r>
    </w:p>
    <w:p>
      <w:pPr>
        <w:spacing w:line="360" w:lineRule="auto"/>
        <w:ind w:firstLine="420" w:firstLineChars="200"/>
      </w:pPr>
      <w:r>
        <w:rPr>
          <w:rFonts w:hint="eastAsia"/>
        </w:rPr>
        <w:t>本课程将带领学生重点学习以下两方面的主要内容：</w:t>
      </w:r>
    </w:p>
    <w:p>
      <w:pPr>
        <w:pStyle w:val="21"/>
        <w:numPr>
          <w:ilvl w:val="0"/>
          <w:numId w:val="2"/>
        </w:numPr>
        <w:spacing w:line="360" w:lineRule="auto"/>
        <w:ind w:firstLineChars="0"/>
      </w:pPr>
      <w:r>
        <w:rPr>
          <w:rFonts w:hint="eastAsia"/>
        </w:rPr>
        <w:t>关注用于收集、分析和诠释商业数据的基础分析方法与工具，从而形成商业洞察力以支持商业决策；</w:t>
      </w:r>
    </w:p>
    <w:p>
      <w:pPr>
        <w:pStyle w:val="21"/>
        <w:numPr>
          <w:ilvl w:val="0"/>
          <w:numId w:val="2"/>
        </w:numPr>
        <w:spacing w:line="360" w:lineRule="auto"/>
        <w:ind w:firstLineChars="0"/>
      </w:pPr>
      <w:r>
        <w:rPr>
          <w:rFonts w:hint="eastAsia"/>
        </w:rPr>
        <w:t>介绍当前商业分析师们所常用的数据建模理念与技巧，旨在准确地定义并沟通业务数据需求、业务规则以及数据分析方法。</w:t>
      </w:r>
    </w:p>
    <w:p>
      <w:pPr>
        <w:spacing w:line="360" w:lineRule="auto"/>
      </w:pPr>
    </w:p>
    <w:p>
      <w:pPr>
        <w:spacing w:line="360" w:lineRule="auto"/>
        <w:ind w:firstLine="422" w:firstLineChars="200"/>
      </w:pPr>
      <w:r>
        <w:rPr>
          <w:rFonts w:hint="eastAsia"/>
          <w:b/>
          <w:bCs/>
        </w:rPr>
        <w:t>课程二：敏捷项目管理</w:t>
      </w:r>
      <w:r>
        <w:rPr>
          <w:rFonts w:hint="eastAsia"/>
        </w:rPr>
        <w:t>（30小时）</w:t>
      </w:r>
    </w:p>
    <w:p>
      <w:pPr>
        <w:spacing w:line="360" w:lineRule="auto"/>
        <w:ind w:firstLine="420" w:firstLineChars="200"/>
      </w:pPr>
      <w:r>
        <w:rPr>
          <w:rFonts w:hint="eastAsia"/>
        </w:rPr>
        <w:t>本课程将介绍敏捷的概念、原则和方法在项目管理中的应用，这些最初主要是在软件开发项目中发展并得到验证的，后来也被成功应用于其他各行业各种规模和类型的项目中。美国项目管理协会提供并管理“敏捷管理专业人士”认证（PMI-ACP®），而本课程的主题与支持该认证的核心原则保持一致。</w:t>
      </w:r>
    </w:p>
    <w:p>
      <w:pPr>
        <w:spacing w:line="360" w:lineRule="auto"/>
        <w:rPr>
          <w:rFonts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pPr>
        <w:pStyle w:val="25"/>
        <w:spacing w:line="380" w:lineRule="exact"/>
        <w:ind w:left="141" w:leftChars="67"/>
        <w:jc w:val="center"/>
        <w:rPr>
          <w:rFonts w:asciiTheme="majorEastAsia" w:hAnsiTheme="majorEastAsia" w:eastAsiaTheme="majorEastAsia"/>
          <w:b/>
          <w:color w:val="auto"/>
          <w:sz w:val="21"/>
          <w:szCs w:val="21"/>
        </w:rPr>
      </w:pPr>
    </w:p>
    <w:p>
      <w:pPr>
        <w:pStyle w:val="25"/>
        <w:spacing w:line="380" w:lineRule="exact"/>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第一周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w:t>
            </w:r>
            <w:r>
              <w:rPr>
                <w:rFonts w:hint="eastAsia" w:asciiTheme="minorHAnsi" w:hAnsiTheme="minorHAnsi" w:eastAsiaTheme="majorEastAsia" w:cstheme="minorHAnsi"/>
                <w:color w:val="auto"/>
                <w:sz w:val="21"/>
                <w:szCs w:val="21"/>
              </w:rPr>
              <w:t>/</w:t>
            </w:r>
            <w:r>
              <w:rPr>
                <w:rFonts w:asciiTheme="minorHAnsi" w:hAnsiTheme="minorHAnsi" w:eastAsiaTheme="majorEastAsia" w:cstheme="minorHAnsi"/>
                <w:color w:val="auto"/>
                <w:sz w:val="21"/>
                <w:szCs w:val="21"/>
              </w:rPr>
              <w:t>1/21</w:t>
            </w:r>
            <w:r>
              <w:rPr>
                <w:rFonts w:hint="eastAsia" w:asciiTheme="minorHAnsi" w:hAnsiTheme="minorHAnsi" w:eastAsiaTheme="majorEastAsia" w:cstheme="minorHAnsi"/>
                <w:color w:val="auto"/>
                <w:sz w:val="21"/>
                <w:szCs w:val="21"/>
              </w:rPr>
              <w:t>（周末）</w:t>
            </w:r>
          </w:p>
        </w:tc>
        <w:tc>
          <w:tcPr>
            <w:tcW w:w="5387" w:type="dxa"/>
          </w:tcPr>
          <w:p>
            <w:pPr>
              <w:pStyle w:val="25"/>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抵达蒙特利尔</w:t>
            </w:r>
            <w:r>
              <w:rPr>
                <w:rFonts w:asciiTheme="minorHAnsi" w:hAnsiTheme="minorHAnsi" w:eastAsiaTheme="majorEastAsia" w:cstheme="minorHAnsi"/>
                <w:color w:val="auto"/>
                <w:sz w:val="21"/>
                <w:szCs w:val="21"/>
              </w:rPr>
              <w:t>，入住</w:t>
            </w:r>
            <w:r>
              <w:rPr>
                <w:rFonts w:hint="eastAsia" w:asciiTheme="minorHAnsi" w:hAnsiTheme="minorHAnsi" w:eastAsiaTheme="majorEastAsia" w:cstheme="minorHAnsi"/>
                <w:color w:val="auto"/>
                <w:sz w:val="21"/>
                <w:szCs w:val="21"/>
              </w:rPr>
              <w:t>校外公寓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2024/1/22（星期一）</w:t>
            </w:r>
          </w:p>
        </w:tc>
        <w:tc>
          <w:tcPr>
            <w:tcW w:w="5387" w:type="dxa"/>
          </w:tcPr>
          <w:p>
            <w:pPr>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上午：项目启动；课程介绍；数据模型的理念与技巧</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下午：参观校园，熟悉环境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2024/1/23（星期二）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上午：数据模型工作坊；数据、商业分析与数据驱动型公司</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2024/1/24（星期三）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上午：数据分析基础：数据挖掘、清理与准备；描述性分析与诊断式分析</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下午：游览</w:t>
            </w:r>
            <w:r>
              <w:rPr>
                <w:rFonts w:hint="eastAsia" w:cs="Calibri" w:asciiTheme="minorHAnsi" w:hAnsiTheme="minorHAnsi"/>
                <w:szCs w:val="21"/>
              </w:rPr>
              <w:t>蒙特利尔老城区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2024/1/25（星期四）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上午：数据的挖掘与准备</w:t>
            </w:r>
            <w:r>
              <w:rPr>
                <w:rFonts w:asciiTheme="minorHAnsi" w:hAnsiTheme="minorHAnsi" w:eastAsiaTheme="majorEastAsia" w:cstheme="minorHAnsi"/>
                <w:kern w:val="0"/>
                <w:szCs w:val="21"/>
              </w:rPr>
              <w:t xml:space="preserve"> - </w:t>
            </w:r>
            <w:r>
              <w:rPr>
                <w:rFonts w:hint="eastAsia" w:asciiTheme="minorHAnsi" w:hAnsiTheme="minorHAnsi" w:eastAsiaTheme="majorEastAsia" w:cstheme="minorHAnsi"/>
                <w:kern w:val="0"/>
                <w:szCs w:val="21"/>
              </w:rPr>
              <w:t>练习</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2024/1/26（星期五）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上午：数据分析技术工作坊</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2024/1/27-1/28（</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pStyle w:val="25"/>
              <w:jc w:val="left"/>
              <w:rPr>
                <w:rFonts w:asciiTheme="minorHAnsi" w:hAnsiTheme="minorHAnsi" w:eastAsiaTheme="majorEastAsia" w:cstheme="minorHAnsi"/>
                <w:color w:val="auto"/>
                <w:sz w:val="21"/>
                <w:szCs w:val="21"/>
              </w:rPr>
            </w:pPr>
            <w:r>
              <w:rPr>
                <w:rFonts w:hint="eastAsia" w:asciiTheme="minorHAnsi" w:hAnsiTheme="minorHAnsi" w:eastAsiaTheme="majorEastAsia" w:cstheme="minorHAnsi"/>
                <w:color w:val="auto"/>
                <w:sz w:val="21"/>
                <w:szCs w:val="21"/>
              </w:rPr>
              <w:t>参加学校组织的活动，如渥太华一日游（需另付费）</w:t>
            </w:r>
          </w:p>
        </w:tc>
      </w:tr>
    </w:tbl>
    <w:p>
      <w:pPr>
        <w:pStyle w:val="25"/>
        <w:ind w:left="141" w:leftChars="67"/>
        <w:rPr>
          <w:rFonts w:asciiTheme="majorEastAsia" w:hAnsiTheme="majorEastAsia" w:eastAsiaTheme="majorEastAsia"/>
          <w:b/>
          <w:color w:val="auto"/>
          <w:sz w:val="21"/>
          <w:szCs w:val="21"/>
        </w:rPr>
      </w:pPr>
    </w:p>
    <w:p>
      <w:pPr>
        <w:widowControl/>
        <w:jc w:val="center"/>
        <w:rPr>
          <w:rFonts w:asciiTheme="majorEastAsia" w:hAnsiTheme="majorEastAsia" w:eastAsiaTheme="majorEastAsia"/>
          <w:b/>
          <w:szCs w:val="21"/>
        </w:rPr>
      </w:pPr>
      <w:r>
        <w:rPr>
          <w:rFonts w:hint="eastAsia" w:asciiTheme="majorEastAsia" w:hAnsiTheme="majorEastAsia" w:eastAsiaTheme="majorEastAsia"/>
          <w:b/>
          <w:szCs w:val="21"/>
        </w:rPr>
        <w:t>第二周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9（星期一）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上午：数据驱动的企业与应用：决策流程中的商业分析；数据分析对于组织的影响</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下午：参观蒙城唐人街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2024/1/30（星期二）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上午：高级商业数据分析：预测性分析</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2024/1/31（星期三）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上午：高级数据分析技术工作坊</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下午：体验蒙特利尔地下城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上午：数据分析的未来：大数据、物联网与人工智能驱动的创新</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w:t>
            </w:r>
            <w:r>
              <w:rPr>
                <w:rFonts w:hint="eastAsia" w:asciiTheme="minorHAnsi" w:hAnsiTheme="minorHAnsi" w:eastAsiaTheme="majorEastAsia" w:cstheme="minorHAnsi"/>
                <w:color w:val="auto"/>
                <w:sz w:val="21"/>
                <w:szCs w:val="21"/>
              </w:rPr>
              <w:t>2</w:t>
            </w:r>
            <w:r>
              <w:rPr>
                <w:rFonts w:asciiTheme="minorHAnsi" w:hAnsiTheme="minorHAnsi" w:eastAsiaTheme="majorEastAsia" w:cstheme="minorHAnsi"/>
                <w:color w:val="auto"/>
                <w:sz w:val="21"/>
                <w:szCs w:val="21"/>
              </w:rPr>
              <w:t>（星期五）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上午：其它的高级数据分析技巧</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2024/2/3-2/4（</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自由安排</w:t>
            </w:r>
          </w:p>
        </w:tc>
      </w:tr>
    </w:tbl>
    <w:p>
      <w:pPr>
        <w:pStyle w:val="25"/>
        <w:ind w:left="141" w:leftChars="67"/>
        <w:rPr>
          <w:rFonts w:asciiTheme="majorEastAsia" w:hAnsiTheme="majorEastAsia" w:eastAsiaTheme="majorEastAsia"/>
          <w:b/>
          <w:color w:val="auto"/>
          <w:sz w:val="21"/>
          <w:szCs w:val="21"/>
        </w:rPr>
      </w:pPr>
    </w:p>
    <w:p>
      <w:pPr>
        <w:pStyle w:val="25"/>
        <w:ind w:left="141" w:leftChars="67"/>
        <w:jc w:val="center"/>
        <w:rPr>
          <w:rFonts w:asciiTheme="majorEastAsia" w:hAnsiTheme="majorEastAsia" w:eastAsiaTheme="majorEastAsia"/>
          <w:b/>
          <w:color w:val="auto"/>
          <w:sz w:val="21"/>
          <w:szCs w:val="21"/>
        </w:rPr>
      </w:pPr>
    </w:p>
    <w:p>
      <w:pPr>
        <w:pStyle w:val="25"/>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第三周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2024/2/5（星期一）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上午：敏捷项目管理课程介绍；敏捷项目管理的简介</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2024/2/6（星期二）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上午：敏捷项目管理中的S</w:t>
            </w:r>
            <w:r>
              <w:rPr>
                <w:rFonts w:asciiTheme="minorHAnsi" w:hAnsiTheme="minorHAnsi" w:eastAsiaTheme="majorEastAsia" w:cstheme="minorHAnsi"/>
                <w:kern w:val="0"/>
                <w:szCs w:val="21"/>
              </w:rPr>
              <w:t>CRUM</w:t>
            </w:r>
            <w:r>
              <w:rPr>
                <w:rFonts w:hint="eastAsia" w:asciiTheme="minorHAnsi" w:hAnsiTheme="minorHAnsi" w:eastAsiaTheme="majorEastAsia" w:cstheme="minorHAnsi"/>
                <w:kern w:val="0"/>
                <w:szCs w:val="21"/>
              </w:rPr>
              <w:t>框架（一）</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下午：游览皇家山公园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2024/2/7（星期三）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上午：敏捷项目管理中的S</w:t>
            </w:r>
            <w:r>
              <w:rPr>
                <w:rFonts w:asciiTheme="minorHAnsi" w:hAnsiTheme="minorHAnsi" w:eastAsiaTheme="majorEastAsia" w:cstheme="minorHAnsi"/>
                <w:kern w:val="0"/>
                <w:szCs w:val="21"/>
              </w:rPr>
              <w:t>CRUM</w:t>
            </w:r>
            <w:r>
              <w:rPr>
                <w:rFonts w:hint="eastAsia" w:asciiTheme="minorHAnsi" w:hAnsiTheme="minorHAnsi" w:eastAsiaTheme="majorEastAsia" w:cstheme="minorHAnsi"/>
                <w:kern w:val="0"/>
                <w:szCs w:val="21"/>
              </w:rPr>
              <w:t>框架（二）</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下午：体验蒙城当地的特色市场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2024/2/8（星期四）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上午：敏捷项目管理中的精益（</w:t>
            </w:r>
            <w:r>
              <w:rPr>
                <w:rFonts w:asciiTheme="minorHAnsi" w:hAnsiTheme="minorHAnsi" w:eastAsiaTheme="majorEastAsia" w:cstheme="minorHAnsi"/>
                <w:kern w:val="0"/>
                <w:szCs w:val="21"/>
              </w:rPr>
              <w:t>Lean）</w:t>
            </w:r>
            <w:r>
              <w:rPr>
                <w:rFonts w:hint="eastAsia" w:asciiTheme="minorHAnsi" w:hAnsiTheme="minorHAnsi" w:eastAsiaTheme="majorEastAsia" w:cstheme="minorHAnsi"/>
                <w:kern w:val="0"/>
                <w:szCs w:val="21"/>
              </w:rPr>
              <w:t>与</w:t>
            </w:r>
            <w:r>
              <w:rPr>
                <w:rFonts w:asciiTheme="minorHAnsi" w:hAnsiTheme="minorHAnsi" w:eastAsiaTheme="majorEastAsia" w:cstheme="minorHAnsi"/>
                <w:kern w:val="0"/>
                <w:szCs w:val="21"/>
              </w:rPr>
              <w:t>看板</w:t>
            </w:r>
            <w:r>
              <w:rPr>
                <w:rFonts w:hint="eastAsia" w:ascii="Arial" w:hAnsi="Arial" w:cs="Arial"/>
                <w:color w:val="333333"/>
                <w:sz w:val="20"/>
                <w:szCs w:val="20"/>
                <w:shd w:val="clear" w:color="auto" w:fill="FFFFFF"/>
              </w:rPr>
              <w:t>（</w:t>
            </w:r>
            <w:r>
              <w:rPr>
                <w:rFonts w:ascii="Arial" w:hAnsi="Arial" w:cs="Arial"/>
                <w:color w:val="333333"/>
                <w:sz w:val="20"/>
                <w:szCs w:val="20"/>
                <w:shd w:val="clear" w:color="auto" w:fill="FFFFFF"/>
              </w:rPr>
              <w:t>Kanban</w:t>
            </w:r>
            <w:r>
              <w:rPr>
                <w:rFonts w:hint="eastAsia" w:ascii="Arial" w:hAnsi="Arial" w:cs="Arial"/>
                <w:color w:val="333333"/>
                <w:sz w:val="20"/>
                <w:szCs w:val="20"/>
                <w:shd w:val="clear" w:color="auto" w:fill="FFFFFF"/>
              </w:rPr>
              <w:t>）方法</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2024/2/9（星期五）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上午：敏捷模型中的极限编程</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2024/2/10-2/11（</w:t>
            </w:r>
            <w:r>
              <w:rPr>
                <w:rFonts w:hint="eastAsia" w:asciiTheme="minorHAnsi" w:hAnsiTheme="minorHAnsi" w:eastAsiaTheme="majorEastAsia" w:cstheme="minorHAnsi"/>
                <w:color w:val="auto"/>
                <w:sz w:val="21"/>
                <w:szCs w:val="21"/>
              </w:rPr>
              <w:t>周末</w:t>
            </w:r>
            <w:r>
              <w:rPr>
                <w:rFonts w:asciiTheme="minorHAnsi" w:hAnsiTheme="minorHAnsi" w:eastAsiaTheme="majorEastAsia" w:cstheme="minorHAnsi"/>
                <w:color w:val="auto"/>
                <w:sz w:val="21"/>
                <w:szCs w:val="21"/>
              </w:rPr>
              <w:t>）</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szCs w:val="21"/>
              </w:rPr>
              <w:t>参加学校组织的活动，如魁北克一日游（需另付费）</w:t>
            </w:r>
          </w:p>
        </w:tc>
      </w:tr>
    </w:tbl>
    <w:p>
      <w:pPr>
        <w:pStyle w:val="26"/>
        <w:spacing w:line="360" w:lineRule="auto"/>
        <w:rPr>
          <w:rFonts w:asciiTheme="majorEastAsia" w:hAnsiTheme="majorEastAsia" w:eastAsiaTheme="majorEastAsia"/>
          <w:sz w:val="21"/>
          <w:szCs w:val="21"/>
          <w:u w:val="single"/>
          <w:lang w:eastAsia="zh-CN"/>
        </w:rPr>
      </w:pPr>
    </w:p>
    <w:p>
      <w:pPr>
        <w:pStyle w:val="25"/>
        <w:ind w:left="141" w:leftChars="67"/>
        <w:jc w:val="center"/>
        <w:rPr>
          <w:rFonts w:asciiTheme="majorEastAsia" w:hAnsiTheme="majorEastAsia" w:eastAsiaTheme="majorEastAsia"/>
          <w:b/>
          <w:color w:val="auto"/>
          <w:sz w:val="21"/>
          <w:szCs w:val="21"/>
        </w:rPr>
      </w:pPr>
      <w:r>
        <w:rPr>
          <w:rFonts w:hint="eastAsia" w:asciiTheme="majorEastAsia" w:hAnsiTheme="majorEastAsia" w:eastAsiaTheme="majorEastAsia"/>
          <w:b/>
          <w:color w:val="auto"/>
          <w:sz w:val="21"/>
          <w:szCs w:val="21"/>
        </w:rPr>
        <w:t>第四周</w:t>
      </w:r>
    </w:p>
    <w:tbl>
      <w:tblPr>
        <w:tblStyle w:val="12"/>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5"/>
              <w:ind w:left="141" w:leftChars="67"/>
              <w:jc w:val="center"/>
              <w:rPr>
                <w:rFonts w:asciiTheme="minorHAnsi" w:hAnsiTheme="minorHAnsi" w:eastAsiaTheme="majorEastAsia" w:cstheme="minorHAnsi"/>
                <w:b/>
                <w:color w:val="auto"/>
                <w:sz w:val="21"/>
                <w:szCs w:val="21"/>
              </w:rPr>
            </w:pPr>
            <w:r>
              <w:rPr>
                <w:rFonts w:asciiTheme="minorHAnsi" w:hAnsiTheme="minorHAnsi" w:eastAsiaTheme="majorEastAsia" w:cstheme="minorHAnsi"/>
                <w:b/>
                <w:color w:val="auto"/>
                <w:sz w:val="21"/>
                <w:szCs w:val="21"/>
              </w:rPr>
              <w:t>日期</w:t>
            </w:r>
          </w:p>
        </w:tc>
        <w:tc>
          <w:tcPr>
            <w:tcW w:w="5387" w:type="dxa"/>
          </w:tcPr>
          <w:p>
            <w:pPr>
              <w:pStyle w:val="25"/>
              <w:ind w:left="141" w:leftChars="67"/>
              <w:jc w:val="center"/>
              <w:rPr>
                <w:rFonts w:asciiTheme="minorHAnsi" w:hAnsiTheme="minorHAnsi" w:eastAsiaTheme="majorEastAsia" w:cstheme="minorHAnsi"/>
                <w:b/>
                <w:color w:val="auto"/>
                <w:sz w:val="21"/>
                <w:szCs w:val="21"/>
              </w:rPr>
            </w:pPr>
            <w:r>
              <w:rPr>
                <w:rFonts w:hint="eastAsia" w:asciiTheme="minorHAnsi" w:hAnsiTheme="minorHAnsi" w:eastAsiaTheme="majorEastAsia" w:cstheme="minorHAnsi"/>
                <w:b/>
                <w:color w:val="auto"/>
                <w:sz w:val="21"/>
                <w:szCs w:val="21"/>
              </w:rPr>
              <w:t>日</w:t>
            </w:r>
            <w:r>
              <w:rPr>
                <w:rFonts w:asciiTheme="minorHAnsi" w:hAnsiTheme="minorHAnsi" w:eastAsiaTheme="majorEastAsia" w:cstheme="minorHAnsi"/>
                <w:b/>
                <w:color w:val="auto"/>
                <w:sz w:val="21"/>
                <w:szCs w:val="21"/>
              </w:rPr>
              <w:t>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2024/2/12（星期一）</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上午：敏捷规划与优先级</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下午：参加学校的体育活动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2024/2/13（星期二）</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上午：敏捷用户的故事与评估</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下午：参观蒙城当地博物馆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2024/2/14（星期三）</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上午：敏捷沟通与协作</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下午：参加学校的兴趣社团活动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2024/2/15（星期四）</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上午：敏捷团队辅导</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下午：开展独立研究，完成作业任务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2024/2/16（星期五）</w:t>
            </w:r>
          </w:p>
        </w:tc>
        <w:tc>
          <w:tcPr>
            <w:tcW w:w="5387" w:type="dxa"/>
          </w:tcPr>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上午：敏捷项目管理回顾与持续改进</w:t>
            </w:r>
          </w:p>
          <w:p>
            <w:pPr>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下午：自由安排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2693" w:type="dxa"/>
          </w:tcPr>
          <w:p>
            <w:pPr>
              <w:pStyle w:val="25"/>
              <w:ind w:left="141" w:leftChars="67"/>
              <w:jc w:val="center"/>
              <w:rPr>
                <w:rFonts w:asciiTheme="minorHAnsi" w:hAnsiTheme="minorHAnsi" w:eastAsiaTheme="majorEastAsia" w:cstheme="minorHAnsi"/>
                <w:color w:val="auto"/>
                <w:sz w:val="21"/>
                <w:szCs w:val="21"/>
              </w:rPr>
            </w:pPr>
            <w:r>
              <w:rPr>
                <w:rFonts w:asciiTheme="minorHAnsi" w:hAnsiTheme="minorHAnsi" w:eastAsiaTheme="majorEastAsia" w:cstheme="minorHAnsi"/>
                <w:color w:val="auto"/>
                <w:sz w:val="21"/>
                <w:szCs w:val="21"/>
              </w:rPr>
              <w:t>2024/2/17（星期六）</w:t>
            </w:r>
          </w:p>
        </w:tc>
        <w:tc>
          <w:tcPr>
            <w:tcW w:w="5387" w:type="dxa"/>
          </w:tcPr>
          <w:p>
            <w:pPr>
              <w:jc w:val="left"/>
              <w:rPr>
                <w:rFonts w:asciiTheme="minorHAnsi" w:hAnsiTheme="minorHAnsi" w:eastAsiaTheme="majorEastAsia" w:cstheme="minorHAnsi"/>
                <w:kern w:val="0"/>
                <w:sz w:val="20"/>
                <w:szCs w:val="21"/>
              </w:rPr>
            </w:pPr>
            <w:r>
              <w:rPr>
                <w:rFonts w:hint="eastAsia" w:asciiTheme="minorHAnsi" w:hAnsiTheme="minorHAnsi" w:eastAsiaTheme="majorEastAsia" w:cstheme="minorHAnsi"/>
                <w:kern w:val="0"/>
                <w:szCs w:val="21"/>
              </w:rPr>
              <w:t>项目结束，</w:t>
            </w:r>
            <w:r>
              <w:rPr>
                <w:rFonts w:asciiTheme="minorHAnsi" w:hAnsiTheme="minorHAnsi" w:eastAsiaTheme="majorEastAsia" w:cstheme="minorHAnsi"/>
                <w:kern w:val="0"/>
                <w:szCs w:val="21"/>
              </w:rPr>
              <w:t>启程回国</w:t>
            </w:r>
          </w:p>
        </w:tc>
      </w:tr>
    </w:tbl>
    <w:p>
      <w:pPr>
        <w:pStyle w:val="25"/>
        <w:spacing w:line="380" w:lineRule="exact"/>
        <w:ind w:left="141" w:leftChars="67"/>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(注：以上行程安排仅为参考，实际行程安排以最终宾大校方出具的行程为准)</w:t>
      </w:r>
    </w:p>
    <w:p>
      <w:pPr>
        <w:spacing w:line="360" w:lineRule="auto"/>
        <w:ind w:firstLine="420" w:firstLineChars="200"/>
        <w:rPr>
          <w:rFonts w:cs="Calibri" w:asciiTheme="minorHAnsi" w:hAnsiTheme="minorHAnsi"/>
          <w:szCs w:val="21"/>
        </w:rPr>
      </w:pPr>
    </w:p>
    <w:p>
      <w:pPr>
        <w:spacing w:line="360" w:lineRule="auto"/>
        <w:rPr>
          <w:rFonts w:cs="Calibri" w:asciiTheme="minorHAnsi" w:hAnsiTheme="minorHAnsi"/>
          <w:szCs w:val="21"/>
        </w:rPr>
      </w:pPr>
      <w:r>
        <w:rPr>
          <w:rFonts w:hint="eastAsia" w:cs="Calibri" w:asciiTheme="minorHAnsi" w:hAnsiTheme="minorHAnsi"/>
          <w:szCs w:val="21"/>
        </w:rPr>
        <w:t>【</w:t>
      </w:r>
      <w:r>
        <w:rPr>
          <w:rFonts w:hint="eastAsia" w:cs="Calibri" w:asciiTheme="minorHAnsi" w:hAnsiTheme="minorHAnsi"/>
          <w:b/>
          <w:bCs/>
          <w:szCs w:val="21"/>
        </w:rPr>
        <w:t>文化活动</w:t>
      </w:r>
      <w:r>
        <w:rPr>
          <w:rFonts w:hint="eastAsia" w:cs="Calibri" w:asciiTheme="minorHAnsi" w:hAnsiTheme="minorHAnsi"/>
          <w:szCs w:val="21"/>
        </w:rPr>
        <w:t>】</w:t>
      </w:r>
    </w:p>
    <w:p>
      <w:pPr>
        <w:spacing w:line="360" w:lineRule="auto"/>
        <w:ind w:firstLine="430"/>
        <w:rPr>
          <w:rFonts w:cs="Calibri" w:asciiTheme="minorHAnsi" w:hAnsiTheme="minorHAnsi"/>
          <w:szCs w:val="21"/>
        </w:rPr>
      </w:pPr>
      <w:r>
        <w:rPr>
          <w:rFonts w:hint="eastAsia" w:cs="Calibri" w:asciiTheme="minorHAnsi" w:hAnsiTheme="minorHAnsi"/>
          <w:szCs w:val="21"/>
        </w:rPr>
        <w:t>麦吉尔大学会定期向暑期项目学生发送每周各类活动信息，学生可适时关注，并根据兴趣选择参加校方每周组织的丰富多彩的各类课外活动，探索体验当地的社会与文化，比如游览麦吉尔大学校园、蒙特利尔老城区、唐人街、蒙特利尔地下城、皇家山公园、当地博物馆、公共市场等特色景点。此外，学生也有机会参加渥太华、魁北克等其它加拿大著名城市的一日游活动（需另付费）。</w:t>
      </w:r>
    </w:p>
    <w:bookmarkEnd w:id="1"/>
    <w:p>
      <w:pPr>
        <w:spacing w:line="360" w:lineRule="auto"/>
        <w:rPr>
          <w:rFonts w:asciiTheme="minorHAnsi" w:hAnsiTheme="minorHAnsi" w:eastAsiaTheme="majorEastAsia" w:cs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项目学生将</w:t>
      </w:r>
      <w:r>
        <w:rPr>
          <w:rFonts w:asciiTheme="minorHAnsi" w:hAnsiTheme="minorHAnsi" w:eastAsiaTheme="majorEastAsia" w:cstheme="minorHAnsi"/>
          <w:szCs w:val="21"/>
        </w:rPr>
        <w:t>由</w:t>
      </w:r>
      <w:r>
        <w:rPr>
          <w:rFonts w:cs="Arial" w:asciiTheme="minorHAnsi" w:hAnsiTheme="minorHAnsi"/>
          <w:color w:val="333333"/>
          <w:kern w:val="0"/>
          <w:szCs w:val="21"/>
        </w:rPr>
        <w:t>麦吉尔</w:t>
      </w:r>
      <w:r>
        <w:rPr>
          <w:rFonts w:asciiTheme="minorHAnsi" w:hAnsiTheme="minorHAnsi" w:eastAsiaTheme="majorEastAsia" w:cstheme="minorHAnsi"/>
          <w:szCs w:val="21"/>
        </w:rPr>
        <w:t>大学进行统一的学术管理与学术考核。</w:t>
      </w:r>
      <w:r>
        <w:rPr>
          <w:rFonts w:hint="eastAsia" w:asciiTheme="minorHAnsi" w:hAnsiTheme="minorHAnsi" w:eastAsiaTheme="majorEastAsia" w:cstheme="minorHAnsi"/>
          <w:szCs w:val="21"/>
        </w:rPr>
        <w:t>顺利完成项目的学生，可获得麦吉尔大学颁发的课程成绩单以及参课证明。</w:t>
      </w:r>
    </w:p>
    <w:p>
      <w:pPr>
        <w:widowControl/>
        <w:spacing w:line="360" w:lineRule="auto"/>
        <w:jc w:val="left"/>
        <w:rPr>
          <w:rFonts w:asciiTheme="minorHAnsi" w:hAnsiTheme="minorHAnsi" w:eastAsiaTheme="majorEastAsia" w:cstheme="minorHAnsi"/>
          <w:szCs w:val="21"/>
        </w:rPr>
      </w:pPr>
      <w:r>
        <w:drawing>
          <wp:inline distT="0" distB="0" distL="0" distR="0">
            <wp:extent cx="3619500" cy="28479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624563" cy="2852172"/>
                    </a:xfrm>
                    <a:prstGeom prst="rect">
                      <a:avLst/>
                    </a:prstGeom>
                  </pic:spPr>
                </pic:pic>
              </a:graphicData>
            </a:graphic>
          </wp:inline>
        </w:drawing>
      </w:r>
    </w:p>
    <w:p>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15875</wp:posOffset>
            </wp:positionV>
            <wp:extent cx="3619500" cy="2616835"/>
            <wp:effectExtent l="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19500" cy="2616835"/>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图：麦吉尔大学专业课成绩单与参课证明样图</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2.66</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国际机票、签证费、住宿费与餐费、个人生活费</w:t>
            </w:r>
          </w:p>
        </w:tc>
      </w:tr>
      <w:bookmarkEnd w:id="2"/>
    </w:tbl>
    <w:p>
      <w:pPr>
        <w:widowControl/>
        <w:spacing w:line="360" w:lineRule="auto"/>
        <w:jc w:val="left"/>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1"/>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79，或雅思6.0，或大学英语四级500、或大学六级470；或D</w:t>
      </w:r>
      <w:r>
        <w:rPr>
          <w:rFonts w:asciiTheme="minorHAnsi" w:hAnsiTheme="minorHAnsi" w:eastAsiaTheme="majorEastAsia" w:cstheme="minorHAnsi"/>
          <w:szCs w:val="21"/>
        </w:rPr>
        <w:t>uolingo 105</w:t>
      </w:r>
    </w:p>
    <w:p>
      <w:pPr>
        <w:pStyle w:val="21"/>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1"/>
        <w:numPr>
          <w:ilvl w:val="0"/>
          <w:numId w:val="3"/>
        </w:numPr>
        <w:spacing w:line="360" w:lineRule="auto"/>
        <w:ind w:firstLineChars="0"/>
        <w:rPr>
          <w:rFonts w:cs="宋体" w:asciiTheme="minorHAnsi" w:hAnsiTheme="minorHAnsi"/>
          <w:b/>
          <w:kern w:val="0"/>
          <w:sz w:val="20"/>
          <w:szCs w:val="21"/>
        </w:rPr>
      </w:pPr>
      <w:r>
        <w:rPr>
          <w:rFonts w:asciiTheme="minorHAnsi" w:hAnsiTheme="minorHAnsi" w:eastAsiaTheme="majorEastAsia" w:cstheme="minorHAnsi"/>
          <w:b/>
          <w:bCs/>
          <w:szCs w:val="21"/>
        </w:rPr>
        <w:t>截止日期</w:t>
      </w:r>
      <w:r>
        <w:rPr>
          <w:rFonts w:asciiTheme="minorHAnsi" w:hAnsiTheme="minorHAnsi" w:eastAsiaTheme="majorEastAsia" w:cstheme="minorHAnsi"/>
          <w:szCs w:val="21"/>
        </w:rPr>
        <w:t>：2023年10月23日</w:t>
      </w:r>
    </w:p>
    <w:p>
      <w:pPr>
        <w:widowControl/>
        <w:jc w:val="left"/>
        <w:rPr>
          <w:rFonts w:cs="宋体" w:asciiTheme="minorHAnsi" w:hAnsiTheme="minorHAnsi"/>
          <w:kern w:val="0"/>
          <w:sz w:val="20"/>
          <w:szCs w:val="21"/>
        </w:rPr>
      </w:pP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6"/>
          <w:rFonts w:asciiTheme="minorHAnsi" w:hAnsiTheme="minorHAnsi"/>
          <w:szCs w:val="21"/>
        </w:rPr>
        <w:t>visit_Adelaide@yeah.net</w:t>
      </w:r>
      <w:r>
        <w:rPr>
          <w:rStyle w:val="16"/>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2" name="图片 2"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二维码"/>
                    <pic:cNvPicPr>
                      <a:picLocks noChangeAspect="1"/>
                    </pic:cNvPicPr>
                  </pic:nvPicPr>
                  <pic:blipFill>
                    <a:blip r:embed="rId8"/>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9"/>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widowControl/>
        <w:spacing w:line="360" w:lineRule="auto"/>
        <w:jc w:val="left"/>
        <w:rPr>
          <w:rFonts w:cs="Calibri" w:asciiTheme="minorHAnsi" w:hAnsiTheme="minorHAnsi"/>
          <w:kern w:val="0"/>
          <w:sz w:val="22"/>
        </w:rPr>
      </w:pPr>
      <w:bookmarkStart w:id="3" w:name="_GoBack"/>
      <w:bookmarkEnd w:id="3"/>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1">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DCD6F41"/>
    <w:multiLevelType w:val="multilevel"/>
    <w:tmpl w:val="7DCD6F4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47524326"/>
    <w:rsid w:val="4E1A0878"/>
    <w:rsid w:val="6FFB92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uiPriority w:val="0"/>
    <w:rPr>
      <w:sz w:val="21"/>
      <w:szCs w:val="21"/>
    </w:rPr>
  </w:style>
  <w:style w:type="character" w:customStyle="1" w:styleId="18">
    <w:name w:val="141"/>
    <w:qFormat/>
    <w:uiPriority w:val="0"/>
    <w:rPr>
      <w:sz w:val="21"/>
      <w:szCs w:val="21"/>
    </w:rPr>
  </w:style>
  <w:style w:type="character" w:customStyle="1" w:styleId="19">
    <w:name w:val="ztag pre"/>
    <w:basedOn w:val="13"/>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Unresolved Mention"/>
    <w:basedOn w:val="13"/>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451</Words>
  <Characters>2576</Characters>
  <Lines>21</Lines>
  <Paragraphs>6</Paragraphs>
  <TotalTime>0</TotalTime>
  <ScaleCrop>false</ScaleCrop>
  <LinksUpToDate>false</LinksUpToDate>
  <CharactersWithSpaces>3021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2023-04-10T16:25:00Z</dcterms:created>
  <dc:creator>全美国际教育协会</dc:creator>
  <cp:lastModifiedBy>不想长大的粽子</cp:lastModifiedBy>
  <cp:lastPrinted>2011-12-16T16:54:00Z</cp:lastPrinted>
  <dcterms:modified xsi:type="dcterms:W3CDTF">2023-09-04T02:54:09Z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20E3636F1B0640488C6836AA65B1B336_12</vt:lpwstr>
  </property>
</Properties>
</file>